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41" w:rsidRPr="00652C41" w:rsidRDefault="00F40518" w:rsidP="00652C41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F40518">
        <w:rPr>
          <w:rFonts w:ascii="Arial" w:eastAsia="Times New Roman" w:hAnsi="Arial" w:cs="Arial"/>
          <w:b/>
          <w:color w:val="000000"/>
          <w:sz w:val="20"/>
          <w:szCs w:val="20"/>
        </w:rPr>
        <w:t>Law: Connecting the Opioid Dots: Prescriptions Down, Fatalities Up</w:t>
      </w:r>
    </w:p>
    <w:p w:rsidR="00652C41" w:rsidRDefault="00652C41" w:rsidP="00652C41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652C41" w:rsidRDefault="00652C41" w:rsidP="00652C41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652C41" w:rsidRDefault="00652C41" w:rsidP="00652C41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EC4223">
        <w:rPr>
          <w:rFonts w:ascii="Arial" w:eastAsia="Times New Roman" w:hAnsi="Arial" w:cs="Arial"/>
          <w:color w:val="000000"/>
          <w:sz w:val="20"/>
          <w:szCs w:val="20"/>
        </w:rPr>
        <w:t>After completing this activity, the participant should be able to:</w:t>
      </w:r>
    </w:p>
    <w:p w:rsidR="00652C41" w:rsidRDefault="00652C41" w:rsidP="00652C41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652C41" w:rsidRDefault="00652C41" w:rsidP="00652C41">
      <w:pPr>
        <w:pStyle w:val="ListParagraph"/>
        <w:numPr>
          <w:ilvl w:val="0"/>
          <w:numId w:val="30"/>
        </w:numPr>
        <w:shd w:val="clear" w:color="auto" w:fill="FFFFFF"/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DESCRIBE the historical and recent trends in the abuse of controlled substances</w:t>
      </w:r>
    </w:p>
    <w:p w:rsidR="00652C41" w:rsidRPr="006F4092" w:rsidRDefault="00652C41" w:rsidP="00652C41">
      <w:pPr>
        <w:pStyle w:val="ListParagraph"/>
        <w:numPr>
          <w:ilvl w:val="0"/>
          <w:numId w:val="30"/>
        </w:numPr>
        <w:shd w:val="clear" w:color="auto" w:fill="FFFFFF"/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IDENTIFY the types of drugs and patterns of use which increase the risk of overdose fatalities. </w:t>
      </w:r>
    </w:p>
    <w:p w:rsidR="00652C41" w:rsidRDefault="00652C41" w:rsidP="00652C41">
      <w:pPr>
        <w:pStyle w:val="ListParagraph"/>
        <w:numPr>
          <w:ilvl w:val="0"/>
          <w:numId w:val="30"/>
        </w:numPr>
        <w:shd w:val="clear" w:color="auto" w:fill="FFFFFF"/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COMPARE regulatory and public policy efforts to reduce misuse and dangers from prescription and illicit controlled substances. </w:t>
      </w:r>
    </w:p>
    <w:p w:rsidR="00652C41" w:rsidRDefault="00652C41" w:rsidP="00652C41">
      <w:pPr>
        <w:pStyle w:val="ListParagraph"/>
        <w:numPr>
          <w:ilvl w:val="0"/>
          <w:numId w:val="30"/>
        </w:numPr>
        <w:shd w:val="clear" w:color="auto" w:fill="FFFFFF"/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DESCRIBE the role of the pharmacist and other health professions in reducing overdose risks.</w:t>
      </w:r>
    </w:p>
    <w:p w:rsidR="00DD559F" w:rsidRDefault="00DD559F" w:rsidP="0086658E"/>
    <w:p w:rsidR="007D4D37" w:rsidRPr="00652C41" w:rsidRDefault="0086658E" w:rsidP="0086658E">
      <w:pPr>
        <w:rPr>
          <w:b/>
        </w:rPr>
      </w:pPr>
      <w:r w:rsidRPr="00652C41">
        <w:rPr>
          <w:b/>
        </w:rPr>
        <w:t>1. The</w:t>
      </w:r>
      <w:r w:rsidR="00DA0000" w:rsidRPr="00652C41">
        <w:rPr>
          <w:b/>
        </w:rPr>
        <w:t xml:space="preserve"> drug </w:t>
      </w:r>
      <w:r w:rsidR="00E2404E" w:rsidRPr="00652C41">
        <w:rPr>
          <w:b/>
        </w:rPr>
        <w:t xml:space="preserve">currently </w:t>
      </w:r>
      <w:r w:rsidR="00DA0000" w:rsidRPr="00652C41">
        <w:rPr>
          <w:b/>
        </w:rPr>
        <w:t>most responsible for overdose deaths is:</w:t>
      </w:r>
    </w:p>
    <w:p w:rsidR="00DA0000" w:rsidRDefault="00DA0000" w:rsidP="00DA0000">
      <w:pPr>
        <w:pStyle w:val="ListParagraph"/>
        <w:numPr>
          <w:ilvl w:val="0"/>
          <w:numId w:val="1"/>
        </w:numPr>
      </w:pPr>
      <w:r>
        <w:t>Heroin</w:t>
      </w:r>
    </w:p>
    <w:p w:rsidR="00DA0000" w:rsidRDefault="00DA0000" w:rsidP="00DA0000">
      <w:pPr>
        <w:pStyle w:val="ListParagraph"/>
        <w:numPr>
          <w:ilvl w:val="0"/>
          <w:numId w:val="1"/>
        </w:numPr>
      </w:pPr>
      <w:r>
        <w:t>Prescription opioids</w:t>
      </w:r>
    </w:p>
    <w:p w:rsidR="00DA0000" w:rsidRDefault="00C53795" w:rsidP="00DA0000">
      <w:pPr>
        <w:pStyle w:val="ListParagraph"/>
        <w:numPr>
          <w:ilvl w:val="0"/>
          <w:numId w:val="1"/>
        </w:numPr>
      </w:pPr>
      <w:r>
        <w:t>F</w:t>
      </w:r>
      <w:r w:rsidR="00DA0000">
        <w:t>entanyl</w:t>
      </w:r>
      <w:r>
        <w:t xml:space="preserve"> and its analogs</w:t>
      </w:r>
      <w:r w:rsidR="00F1347A">
        <w:t xml:space="preserve"> </w:t>
      </w:r>
    </w:p>
    <w:p w:rsidR="00DA0000" w:rsidRDefault="00DA0000" w:rsidP="00DA0000">
      <w:pPr>
        <w:pStyle w:val="ListParagraph"/>
        <w:numPr>
          <w:ilvl w:val="0"/>
          <w:numId w:val="1"/>
        </w:numPr>
      </w:pPr>
      <w:r>
        <w:t>Cocaine</w:t>
      </w:r>
    </w:p>
    <w:p w:rsidR="00DA0000" w:rsidRDefault="00DA0000" w:rsidP="00DA0000"/>
    <w:p w:rsidR="00FA72E4" w:rsidRDefault="00FA72E4" w:rsidP="00FA72E4"/>
    <w:p w:rsidR="00FA72E4" w:rsidRPr="00652C41" w:rsidRDefault="0041238F" w:rsidP="00FA72E4">
      <w:pPr>
        <w:rPr>
          <w:b/>
        </w:rPr>
      </w:pPr>
      <w:r w:rsidRPr="00652C41">
        <w:rPr>
          <w:b/>
        </w:rPr>
        <w:t>2. Approximately how many people in the U.S. died as a result of a drug overdose in 2017?</w:t>
      </w:r>
    </w:p>
    <w:p w:rsidR="0041238F" w:rsidRDefault="00F67AE9" w:rsidP="0026771D">
      <w:pPr>
        <w:pStyle w:val="ListParagraph"/>
        <w:numPr>
          <w:ilvl w:val="0"/>
          <w:numId w:val="28"/>
        </w:numPr>
      </w:pPr>
      <w:r>
        <w:t>19,000</w:t>
      </w:r>
    </w:p>
    <w:p w:rsidR="00F67AE9" w:rsidRDefault="00F67AE9" w:rsidP="0026771D">
      <w:pPr>
        <w:pStyle w:val="ListParagraph"/>
        <w:numPr>
          <w:ilvl w:val="0"/>
          <w:numId w:val="28"/>
        </w:numPr>
      </w:pPr>
      <w:r>
        <w:t>33,000</w:t>
      </w:r>
    </w:p>
    <w:p w:rsidR="00F67AE9" w:rsidRDefault="0026771D" w:rsidP="0026771D">
      <w:pPr>
        <w:pStyle w:val="ListParagraph"/>
        <w:numPr>
          <w:ilvl w:val="0"/>
          <w:numId w:val="28"/>
        </w:numPr>
      </w:pPr>
      <w:r>
        <w:t>45,000</w:t>
      </w:r>
    </w:p>
    <w:p w:rsidR="0026771D" w:rsidRDefault="0026771D" w:rsidP="0026771D">
      <w:pPr>
        <w:pStyle w:val="ListParagraph"/>
        <w:numPr>
          <w:ilvl w:val="0"/>
          <w:numId w:val="28"/>
        </w:numPr>
      </w:pPr>
      <w:r>
        <w:t xml:space="preserve">70,000 </w:t>
      </w:r>
    </w:p>
    <w:p w:rsidR="0062602A" w:rsidRDefault="0062602A" w:rsidP="00DA0000"/>
    <w:p w:rsidR="007F634B" w:rsidRPr="00652C41" w:rsidRDefault="004506E4" w:rsidP="00DA0000">
      <w:pPr>
        <w:rPr>
          <w:b/>
        </w:rPr>
      </w:pPr>
      <w:r w:rsidRPr="00652C41">
        <w:rPr>
          <w:b/>
        </w:rPr>
        <w:t>3</w:t>
      </w:r>
      <w:r w:rsidR="007F634B" w:rsidRPr="00652C41">
        <w:rPr>
          <w:b/>
        </w:rPr>
        <w:t>. Opioids account for approximately what percentage of overdose deaths?</w:t>
      </w:r>
    </w:p>
    <w:p w:rsidR="007F634B" w:rsidRDefault="005E4415" w:rsidP="00D20C8A">
      <w:pPr>
        <w:pStyle w:val="ListParagraph"/>
        <w:numPr>
          <w:ilvl w:val="0"/>
          <w:numId w:val="29"/>
        </w:numPr>
      </w:pPr>
      <w:r>
        <w:t>33%</w:t>
      </w:r>
    </w:p>
    <w:p w:rsidR="005E4415" w:rsidRDefault="005E4415" w:rsidP="00D20C8A">
      <w:pPr>
        <w:pStyle w:val="ListParagraph"/>
        <w:numPr>
          <w:ilvl w:val="0"/>
          <w:numId w:val="29"/>
        </w:numPr>
      </w:pPr>
      <w:r>
        <w:t>50%</w:t>
      </w:r>
    </w:p>
    <w:p w:rsidR="005E4415" w:rsidRDefault="005E4415" w:rsidP="00D20C8A">
      <w:pPr>
        <w:pStyle w:val="ListParagraph"/>
        <w:numPr>
          <w:ilvl w:val="0"/>
          <w:numId w:val="29"/>
        </w:numPr>
      </w:pPr>
      <w:r>
        <w:t xml:space="preserve">67% </w:t>
      </w:r>
    </w:p>
    <w:p w:rsidR="007F634B" w:rsidRDefault="005E4415" w:rsidP="00E91394">
      <w:pPr>
        <w:pStyle w:val="ListParagraph"/>
        <w:numPr>
          <w:ilvl w:val="0"/>
          <w:numId w:val="29"/>
        </w:numPr>
      </w:pPr>
      <w:r>
        <w:t>90%</w:t>
      </w:r>
      <w:r w:rsidR="001E2C50">
        <w:t xml:space="preserve"> </w:t>
      </w:r>
    </w:p>
    <w:p w:rsidR="005E4415" w:rsidRDefault="005E4415" w:rsidP="00DA0000"/>
    <w:p w:rsidR="00DD559F" w:rsidRDefault="00DD559F" w:rsidP="00DA0000"/>
    <w:p w:rsidR="00DD559F" w:rsidRPr="00652C41" w:rsidRDefault="00DD559F" w:rsidP="00DD559F">
      <w:pPr>
        <w:rPr>
          <w:b/>
        </w:rPr>
      </w:pPr>
      <w:r w:rsidRPr="00652C41">
        <w:rPr>
          <w:b/>
        </w:rPr>
        <w:t xml:space="preserve">4. The following describe recent trends in abuse </w:t>
      </w:r>
      <w:r w:rsidRPr="00652C41">
        <w:rPr>
          <w:b/>
          <w:u w:val="single"/>
        </w:rPr>
        <w:t>EXCEPT</w:t>
      </w:r>
      <w:r w:rsidRPr="00652C41">
        <w:rPr>
          <w:b/>
        </w:rPr>
        <w:t xml:space="preserve">: </w:t>
      </w:r>
    </w:p>
    <w:p w:rsidR="00DD559F" w:rsidRDefault="00DD559F" w:rsidP="00DD559F">
      <w:pPr>
        <w:pStyle w:val="ListParagraph"/>
        <w:numPr>
          <w:ilvl w:val="0"/>
          <w:numId w:val="8"/>
        </w:numPr>
      </w:pPr>
      <w:r>
        <w:t>The demographic which has the greatest rate of increase in overdose</w:t>
      </w:r>
      <w:r w:rsidR="00F1347A">
        <w:t xml:space="preserve"> deaths is adults aged 18-25 </w:t>
      </w:r>
    </w:p>
    <w:p w:rsidR="00DD559F" w:rsidRDefault="00DD559F" w:rsidP="00DD559F">
      <w:pPr>
        <w:pStyle w:val="ListParagraph"/>
        <w:numPr>
          <w:ilvl w:val="0"/>
          <w:numId w:val="8"/>
        </w:numPr>
      </w:pPr>
      <w:r>
        <w:t>Overdose deaths increased approximately 10</w:t>
      </w:r>
      <w:r w:rsidR="003975AA">
        <w:t>%</w:t>
      </w:r>
      <w:r w:rsidR="007200A2">
        <w:t xml:space="preserve"> in 201</w:t>
      </w:r>
      <w:r>
        <w:t>7</w:t>
      </w:r>
    </w:p>
    <w:p w:rsidR="00DD559F" w:rsidRDefault="00DD559F" w:rsidP="00DD559F">
      <w:pPr>
        <w:pStyle w:val="ListParagraph"/>
        <w:numPr>
          <w:ilvl w:val="0"/>
          <w:numId w:val="8"/>
        </w:numPr>
      </w:pPr>
      <w:r>
        <w:t>U.S. life expectancy declined in 2017 in part due to the increase in overdoses</w:t>
      </w:r>
    </w:p>
    <w:p w:rsidR="00DD559F" w:rsidRDefault="00DD559F" w:rsidP="00DD559F">
      <w:pPr>
        <w:pStyle w:val="ListParagraph"/>
        <w:numPr>
          <w:ilvl w:val="0"/>
          <w:numId w:val="8"/>
        </w:numPr>
      </w:pPr>
      <w:r>
        <w:t xml:space="preserve">Most of the individuals who became addicted to opioids did not obtain their drugs as part of legitimate pain management </w:t>
      </w:r>
    </w:p>
    <w:p w:rsidR="00DD559F" w:rsidRDefault="00DD559F" w:rsidP="00DD559F"/>
    <w:p w:rsidR="00652C41" w:rsidRDefault="00652C41" w:rsidP="00DA0000"/>
    <w:p w:rsidR="00E91394" w:rsidRPr="00652C41" w:rsidRDefault="00E91394" w:rsidP="00E91394">
      <w:pPr>
        <w:rPr>
          <w:b/>
        </w:rPr>
      </w:pPr>
      <w:r w:rsidRPr="00652C41">
        <w:rPr>
          <w:b/>
        </w:rPr>
        <w:t>5. The fastest growing cause of drug overdose deaths (greatest rate of increase) is:</w:t>
      </w:r>
    </w:p>
    <w:p w:rsidR="00E91394" w:rsidRDefault="00E91394" w:rsidP="00E91394">
      <w:pPr>
        <w:pStyle w:val="ListParagraph"/>
        <w:numPr>
          <w:ilvl w:val="0"/>
          <w:numId w:val="9"/>
        </w:numPr>
      </w:pPr>
      <w:r>
        <w:t>Prescription opioids</w:t>
      </w:r>
    </w:p>
    <w:p w:rsidR="00E91394" w:rsidRDefault="00E91394" w:rsidP="00E91394">
      <w:pPr>
        <w:pStyle w:val="ListParagraph"/>
        <w:numPr>
          <w:ilvl w:val="0"/>
          <w:numId w:val="9"/>
        </w:numPr>
      </w:pPr>
      <w:r>
        <w:t>Benzodiazepines</w:t>
      </w:r>
    </w:p>
    <w:p w:rsidR="00E91394" w:rsidRDefault="00F1347A" w:rsidP="00E91394">
      <w:pPr>
        <w:pStyle w:val="ListParagraph"/>
        <w:numPr>
          <w:ilvl w:val="0"/>
          <w:numId w:val="9"/>
        </w:numPr>
      </w:pPr>
      <w:r>
        <w:t xml:space="preserve">CNS stimulants   </w:t>
      </w:r>
    </w:p>
    <w:p w:rsidR="00E91394" w:rsidRDefault="00E91394" w:rsidP="00E91394">
      <w:pPr>
        <w:pStyle w:val="ListParagraph"/>
        <w:numPr>
          <w:ilvl w:val="0"/>
          <w:numId w:val="9"/>
        </w:numPr>
      </w:pPr>
      <w:r>
        <w:t>Tramadol</w:t>
      </w:r>
    </w:p>
    <w:p w:rsidR="00E91394" w:rsidRDefault="00E91394" w:rsidP="00E91394"/>
    <w:p w:rsidR="00652C41" w:rsidRDefault="00652C41" w:rsidP="00E91394"/>
    <w:p w:rsidR="00E91394" w:rsidRDefault="00E91394" w:rsidP="00DA0000"/>
    <w:p w:rsidR="00E91394" w:rsidRDefault="00E91394" w:rsidP="00DA0000"/>
    <w:p w:rsidR="00A365DD" w:rsidRPr="00652C41" w:rsidRDefault="00E91394" w:rsidP="00A365DD">
      <w:pPr>
        <w:rPr>
          <w:b/>
        </w:rPr>
      </w:pPr>
      <w:r w:rsidRPr="00652C41">
        <w:rPr>
          <w:b/>
        </w:rPr>
        <w:t>6</w:t>
      </w:r>
      <w:r w:rsidR="00A365DD" w:rsidRPr="00652C41">
        <w:rPr>
          <w:b/>
        </w:rPr>
        <w:t>. The cause of death from opiate overdose is:</w:t>
      </w:r>
    </w:p>
    <w:p w:rsidR="00A365DD" w:rsidRDefault="00A365DD" w:rsidP="00A365DD">
      <w:pPr>
        <w:pStyle w:val="ListParagraph"/>
        <w:numPr>
          <w:ilvl w:val="0"/>
          <w:numId w:val="3"/>
        </w:numPr>
      </w:pPr>
      <w:r>
        <w:t>Seizures</w:t>
      </w:r>
    </w:p>
    <w:p w:rsidR="00A365DD" w:rsidRDefault="00F1347A" w:rsidP="00A365DD">
      <w:pPr>
        <w:pStyle w:val="ListParagraph"/>
        <w:numPr>
          <w:ilvl w:val="0"/>
          <w:numId w:val="3"/>
        </w:numPr>
      </w:pPr>
      <w:r>
        <w:t xml:space="preserve">Respiratory failure </w:t>
      </w:r>
    </w:p>
    <w:p w:rsidR="00A365DD" w:rsidRDefault="00A365DD" w:rsidP="00A365DD">
      <w:pPr>
        <w:pStyle w:val="ListParagraph"/>
        <w:numPr>
          <w:ilvl w:val="0"/>
          <w:numId w:val="3"/>
        </w:numPr>
      </w:pPr>
      <w:r>
        <w:t>Cardiac failure</w:t>
      </w:r>
    </w:p>
    <w:p w:rsidR="00A365DD" w:rsidRDefault="00A365DD" w:rsidP="00A365DD">
      <w:pPr>
        <w:pStyle w:val="ListParagraph"/>
        <w:numPr>
          <w:ilvl w:val="0"/>
          <w:numId w:val="3"/>
        </w:numPr>
      </w:pPr>
      <w:r>
        <w:t>GI spasm</w:t>
      </w:r>
    </w:p>
    <w:p w:rsidR="00A365DD" w:rsidRDefault="00A365DD" w:rsidP="00A365DD"/>
    <w:p w:rsidR="00A365DD" w:rsidRDefault="00A365DD" w:rsidP="00DA0000"/>
    <w:p w:rsidR="000064BF" w:rsidRPr="00652C41" w:rsidRDefault="000064BF" w:rsidP="000064BF">
      <w:pPr>
        <w:rPr>
          <w:b/>
        </w:rPr>
      </w:pPr>
      <w:r w:rsidRPr="00652C41">
        <w:rPr>
          <w:b/>
        </w:rPr>
        <w:t xml:space="preserve">7. The first opioid crisis in the mid-1860’s was exacerbated by the following events </w:t>
      </w:r>
      <w:r w:rsidRPr="00652C41">
        <w:rPr>
          <w:b/>
          <w:u w:val="single"/>
        </w:rPr>
        <w:t>EXCEPT</w:t>
      </w:r>
      <w:r w:rsidRPr="00652C41">
        <w:rPr>
          <w:b/>
        </w:rPr>
        <w:t>:</w:t>
      </w:r>
    </w:p>
    <w:p w:rsidR="000064BF" w:rsidRDefault="000064BF" w:rsidP="000064BF">
      <w:pPr>
        <w:pStyle w:val="ListParagraph"/>
        <w:numPr>
          <w:ilvl w:val="0"/>
          <w:numId w:val="24"/>
        </w:numPr>
      </w:pPr>
      <w:r>
        <w:t xml:space="preserve">There were few alternatives available for treating pain </w:t>
      </w:r>
    </w:p>
    <w:p w:rsidR="000064BF" w:rsidRDefault="000064BF" w:rsidP="000064BF">
      <w:pPr>
        <w:pStyle w:val="ListParagraph"/>
        <w:numPr>
          <w:ilvl w:val="0"/>
          <w:numId w:val="24"/>
        </w:numPr>
      </w:pPr>
      <w:r>
        <w:t xml:space="preserve">There was a high frequency of use in soldiers during the Civil War </w:t>
      </w:r>
    </w:p>
    <w:p w:rsidR="000064BF" w:rsidRDefault="000064BF" w:rsidP="000064BF">
      <w:pPr>
        <w:pStyle w:val="ListParagraph"/>
        <w:numPr>
          <w:ilvl w:val="0"/>
          <w:numId w:val="24"/>
        </w:numPr>
      </w:pPr>
      <w:r>
        <w:t xml:space="preserve">Opioids could be purchased without a prescription in drug stores </w:t>
      </w:r>
    </w:p>
    <w:p w:rsidR="000064BF" w:rsidRDefault="000064BF" w:rsidP="000064BF">
      <w:pPr>
        <w:pStyle w:val="ListParagraph"/>
        <w:numPr>
          <w:ilvl w:val="0"/>
          <w:numId w:val="24"/>
        </w:numPr>
      </w:pPr>
      <w:r>
        <w:t xml:space="preserve">Oral dosage forms </w:t>
      </w:r>
      <w:r w:rsidR="00F1347A">
        <w:t xml:space="preserve">of morphine became available </w:t>
      </w:r>
    </w:p>
    <w:p w:rsidR="000064BF" w:rsidRDefault="000064BF" w:rsidP="000064BF"/>
    <w:p w:rsidR="00652C41" w:rsidRDefault="00652C41" w:rsidP="000064BF"/>
    <w:p w:rsidR="00407E4F" w:rsidRPr="00652C41" w:rsidRDefault="00407E4F" w:rsidP="00407E4F">
      <w:pPr>
        <w:rPr>
          <w:b/>
        </w:rPr>
      </w:pPr>
      <w:r w:rsidRPr="00652C41">
        <w:rPr>
          <w:b/>
        </w:rPr>
        <w:t xml:space="preserve">8. Prescribing of opioids for pain markedly increased in the 1980’s and 1990’s due to factors including the following </w:t>
      </w:r>
      <w:r w:rsidRPr="00652C41">
        <w:rPr>
          <w:b/>
          <w:u w:val="single"/>
        </w:rPr>
        <w:t>EXCEPT</w:t>
      </w:r>
      <w:r w:rsidRPr="00652C41">
        <w:rPr>
          <w:b/>
        </w:rPr>
        <w:t>:</w:t>
      </w:r>
    </w:p>
    <w:p w:rsidR="00407E4F" w:rsidRDefault="00407E4F" w:rsidP="00407E4F">
      <w:pPr>
        <w:pStyle w:val="ListParagraph"/>
        <w:numPr>
          <w:ilvl w:val="0"/>
          <w:numId w:val="11"/>
        </w:numPr>
      </w:pPr>
      <w:r>
        <w:t>The perception that pain was not being adequately treated</w:t>
      </w:r>
    </w:p>
    <w:p w:rsidR="00407E4F" w:rsidRDefault="00407E4F" w:rsidP="00407E4F">
      <w:pPr>
        <w:pStyle w:val="ListParagraph"/>
        <w:numPr>
          <w:ilvl w:val="0"/>
          <w:numId w:val="11"/>
        </w:numPr>
      </w:pPr>
      <w:r>
        <w:t>The DEA did not yet exist to enforc</w:t>
      </w:r>
      <w:r w:rsidR="00F1347A">
        <w:t xml:space="preserve">e restraints on prescribing   </w:t>
      </w:r>
    </w:p>
    <w:p w:rsidR="00407E4F" w:rsidRDefault="00407E4F" w:rsidP="00407E4F">
      <w:pPr>
        <w:pStyle w:val="ListParagraph"/>
        <w:numPr>
          <w:ilvl w:val="0"/>
          <w:numId w:val="11"/>
        </w:numPr>
      </w:pPr>
      <w:r>
        <w:t>Manufacturers heavily promoted oral dosage forms like oxycodone</w:t>
      </w:r>
    </w:p>
    <w:p w:rsidR="00407E4F" w:rsidRDefault="00407E4F" w:rsidP="00407E4F">
      <w:pPr>
        <w:pStyle w:val="ListParagraph"/>
        <w:numPr>
          <w:ilvl w:val="0"/>
          <w:numId w:val="11"/>
        </w:numPr>
      </w:pPr>
      <w:r>
        <w:t xml:space="preserve">There was a perception that addiction to pain pills was rare </w:t>
      </w:r>
    </w:p>
    <w:p w:rsidR="00407E4F" w:rsidRDefault="00407E4F" w:rsidP="00407E4F"/>
    <w:p w:rsidR="000064BF" w:rsidRDefault="000064BF" w:rsidP="00DA0000"/>
    <w:p w:rsidR="00A361A1" w:rsidRPr="00652C41" w:rsidRDefault="00A361A1" w:rsidP="00A361A1">
      <w:pPr>
        <w:rPr>
          <w:b/>
        </w:rPr>
      </w:pPr>
      <w:r w:rsidRPr="00652C41">
        <w:rPr>
          <w:b/>
        </w:rPr>
        <w:t>9. The CDC pain management guidelines recommend avoiding prescribing opioids above:</w:t>
      </w:r>
    </w:p>
    <w:p w:rsidR="00A361A1" w:rsidRDefault="00A361A1" w:rsidP="00A361A1">
      <w:pPr>
        <w:pStyle w:val="ListParagraph"/>
        <w:numPr>
          <w:ilvl w:val="0"/>
          <w:numId w:val="12"/>
        </w:numPr>
      </w:pPr>
      <w:r>
        <w:t>25 MME/day</w:t>
      </w:r>
    </w:p>
    <w:p w:rsidR="00A361A1" w:rsidRDefault="00A361A1" w:rsidP="00A361A1">
      <w:pPr>
        <w:pStyle w:val="ListParagraph"/>
        <w:numPr>
          <w:ilvl w:val="0"/>
          <w:numId w:val="12"/>
        </w:numPr>
      </w:pPr>
      <w:r>
        <w:t>50 MME/day</w:t>
      </w:r>
    </w:p>
    <w:p w:rsidR="00A361A1" w:rsidRDefault="00F1347A" w:rsidP="00A361A1">
      <w:pPr>
        <w:pStyle w:val="ListParagraph"/>
        <w:numPr>
          <w:ilvl w:val="0"/>
          <w:numId w:val="12"/>
        </w:numPr>
      </w:pPr>
      <w:r>
        <w:t xml:space="preserve">90 MME/day    </w:t>
      </w:r>
    </w:p>
    <w:p w:rsidR="00A361A1" w:rsidRDefault="00A361A1" w:rsidP="00A361A1">
      <w:pPr>
        <w:pStyle w:val="ListParagraph"/>
        <w:numPr>
          <w:ilvl w:val="0"/>
          <w:numId w:val="12"/>
        </w:numPr>
      </w:pPr>
      <w:r>
        <w:t>125 MME/day</w:t>
      </w:r>
    </w:p>
    <w:p w:rsidR="00A361A1" w:rsidRDefault="00A361A1" w:rsidP="00A361A1"/>
    <w:p w:rsidR="00652C41" w:rsidRDefault="00652C41" w:rsidP="00A361A1"/>
    <w:p w:rsidR="00A361A1" w:rsidRPr="00652C41" w:rsidRDefault="00A361A1" w:rsidP="00A361A1">
      <w:pPr>
        <w:rPr>
          <w:b/>
        </w:rPr>
      </w:pPr>
      <w:r w:rsidRPr="00652C41">
        <w:rPr>
          <w:b/>
        </w:rPr>
        <w:t>10. What do most professional organizations and CDC guidelines recommend as a first line treatment for acute pain?</w:t>
      </w:r>
    </w:p>
    <w:p w:rsidR="00A361A1" w:rsidRDefault="00A361A1" w:rsidP="00A361A1">
      <w:pPr>
        <w:pStyle w:val="ListParagraph"/>
        <w:numPr>
          <w:ilvl w:val="0"/>
          <w:numId w:val="21"/>
        </w:numPr>
      </w:pPr>
      <w:r>
        <w:t>Long acting opioids</w:t>
      </w:r>
    </w:p>
    <w:p w:rsidR="00A361A1" w:rsidRDefault="00A361A1" w:rsidP="00A361A1">
      <w:pPr>
        <w:pStyle w:val="ListParagraph"/>
        <w:numPr>
          <w:ilvl w:val="0"/>
          <w:numId w:val="21"/>
        </w:numPr>
      </w:pPr>
      <w:r>
        <w:t>Short acting opioids</w:t>
      </w:r>
    </w:p>
    <w:p w:rsidR="00A361A1" w:rsidRDefault="00F1347A" w:rsidP="00A361A1">
      <w:pPr>
        <w:pStyle w:val="ListParagraph"/>
        <w:numPr>
          <w:ilvl w:val="0"/>
          <w:numId w:val="21"/>
        </w:numPr>
      </w:pPr>
      <w:r>
        <w:t xml:space="preserve">Non-opioids </w:t>
      </w:r>
    </w:p>
    <w:p w:rsidR="00A361A1" w:rsidRDefault="00A361A1" w:rsidP="00A361A1">
      <w:pPr>
        <w:pStyle w:val="ListParagraph"/>
        <w:numPr>
          <w:ilvl w:val="0"/>
          <w:numId w:val="21"/>
        </w:numPr>
      </w:pPr>
      <w:r>
        <w:t xml:space="preserve">Less than 20 MME/day </w:t>
      </w:r>
    </w:p>
    <w:p w:rsidR="002C3BB8" w:rsidRDefault="002C3BB8" w:rsidP="002C3BB8"/>
    <w:p w:rsidR="002C3BB8" w:rsidRDefault="002C3BB8" w:rsidP="002C3BB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11. A patient has in the past filled prescriptions for Class II narcotics to</w:t>
      </w:r>
      <w:r w:rsidR="007200A2">
        <w:rPr>
          <w:rFonts w:ascii="Calibri" w:hAnsi="Calibri"/>
          <w:b/>
          <w:color w:val="000000"/>
        </w:rPr>
        <w:t>o</w:t>
      </w:r>
      <w:r>
        <w:rPr>
          <w:rFonts w:ascii="Calibri" w:hAnsi="Calibri"/>
          <w:b/>
          <w:color w:val="000000"/>
        </w:rPr>
        <w:t xml:space="preserve"> frequently. Subsequently, her insurance took action and refuses to pay for any opioids or benzodiazepines. She is flagged in your state’s prescription monitoring database. She comes to the pharmacy with a new prescription for one of the following medications. Which of the following drugs might be risky for her and be an indicator that you should monitor carefully?</w:t>
      </w:r>
    </w:p>
    <w:p w:rsidR="002C3BB8" w:rsidRDefault="002C3BB8" w:rsidP="002C3BB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C3BB8" w:rsidRDefault="002C3BB8" w:rsidP="002C3BB8">
      <w:pPr>
        <w:pStyle w:val="NormalWeb"/>
        <w:ind w:left="765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a.</w:t>
      </w:r>
      <w:r>
        <w:rPr>
          <w:rFonts w:ascii="Calibri" w:hAnsi="Calibri"/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</w:rPr>
        <w:t>Gabapentin</w:t>
      </w:r>
    </w:p>
    <w:p w:rsidR="002C3BB8" w:rsidRDefault="002C3BB8" w:rsidP="002C3BB8">
      <w:pPr>
        <w:pStyle w:val="NormalWeb"/>
        <w:ind w:left="765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b.</w:t>
      </w:r>
      <w:r>
        <w:rPr>
          <w:rFonts w:ascii="Calibri" w:hAnsi="Calibri"/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</w:rPr>
        <w:t>Fluoxetine</w:t>
      </w:r>
    </w:p>
    <w:p w:rsidR="002C3BB8" w:rsidRDefault="002C3BB8" w:rsidP="002C3BB8">
      <w:pPr>
        <w:pStyle w:val="NormalWeb"/>
        <w:ind w:left="765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c.</w:t>
      </w:r>
      <w:r>
        <w:rPr>
          <w:rFonts w:ascii="Calibri" w:hAnsi="Calibri"/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</w:rPr>
        <w:t>Docusate</w:t>
      </w:r>
    </w:p>
    <w:p w:rsidR="002C3BB8" w:rsidRDefault="002C3BB8" w:rsidP="002C3BB8">
      <w:pPr>
        <w:pStyle w:val="NormalWeb"/>
        <w:ind w:left="765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d.</w:t>
      </w:r>
      <w:r>
        <w:rPr>
          <w:rFonts w:ascii="Calibri" w:hAnsi="Calibri"/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</w:rPr>
        <w:t>Cephalosporin</w:t>
      </w:r>
    </w:p>
    <w:p w:rsidR="002C3BB8" w:rsidRDefault="002C3BB8" w:rsidP="002C3BB8"/>
    <w:p w:rsidR="00A361A1" w:rsidRDefault="00A361A1" w:rsidP="00A361A1"/>
    <w:p w:rsidR="000064BF" w:rsidRDefault="000064BF" w:rsidP="00DA0000"/>
    <w:p w:rsidR="00A5367D" w:rsidRPr="00652C41" w:rsidRDefault="00A5367D" w:rsidP="00A5367D">
      <w:pPr>
        <w:rPr>
          <w:b/>
        </w:rPr>
      </w:pPr>
      <w:r w:rsidRPr="00652C41">
        <w:rPr>
          <w:b/>
        </w:rPr>
        <w:t>1</w:t>
      </w:r>
      <w:r w:rsidR="00A34FAD" w:rsidRPr="00652C41">
        <w:rPr>
          <w:b/>
        </w:rPr>
        <w:t>2.</w:t>
      </w:r>
      <w:r w:rsidRPr="00652C41">
        <w:rPr>
          <w:b/>
        </w:rPr>
        <w:t xml:space="preserve"> The most common opioid prescribing limit </w:t>
      </w:r>
      <w:r w:rsidR="00652C41">
        <w:rPr>
          <w:b/>
        </w:rPr>
        <w:t xml:space="preserve">in days’ supply </w:t>
      </w:r>
      <w:r w:rsidRPr="00652C41">
        <w:rPr>
          <w:b/>
        </w:rPr>
        <w:t>enacted by states is:</w:t>
      </w:r>
    </w:p>
    <w:p w:rsidR="00A5367D" w:rsidRDefault="00A5367D" w:rsidP="00A5367D">
      <w:pPr>
        <w:pStyle w:val="ListParagraph"/>
        <w:numPr>
          <w:ilvl w:val="0"/>
          <w:numId w:val="17"/>
        </w:numPr>
      </w:pPr>
      <w:r>
        <w:t>3 days</w:t>
      </w:r>
    </w:p>
    <w:p w:rsidR="00A5367D" w:rsidRDefault="00F1347A" w:rsidP="00A5367D">
      <w:pPr>
        <w:pStyle w:val="ListParagraph"/>
        <w:numPr>
          <w:ilvl w:val="0"/>
          <w:numId w:val="17"/>
        </w:numPr>
      </w:pPr>
      <w:r>
        <w:t xml:space="preserve">7 days </w:t>
      </w:r>
    </w:p>
    <w:p w:rsidR="00A5367D" w:rsidRDefault="00A5367D" w:rsidP="00A5367D">
      <w:pPr>
        <w:pStyle w:val="ListParagraph"/>
        <w:numPr>
          <w:ilvl w:val="0"/>
          <w:numId w:val="17"/>
        </w:numPr>
      </w:pPr>
      <w:r>
        <w:t>14 days</w:t>
      </w:r>
    </w:p>
    <w:p w:rsidR="00A5367D" w:rsidRDefault="00A5367D" w:rsidP="00A5367D">
      <w:pPr>
        <w:pStyle w:val="ListParagraph"/>
        <w:numPr>
          <w:ilvl w:val="0"/>
          <w:numId w:val="17"/>
        </w:numPr>
      </w:pPr>
      <w:r>
        <w:t>30 days</w:t>
      </w:r>
    </w:p>
    <w:p w:rsidR="00A5367D" w:rsidRDefault="00A5367D" w:rsidP="00A5367D"/>
    <w:p w:rsidR="00A5367D" w:rsidRDefault="00A5367D" w:rsidP="00A5367D"/>
    <w:p w:rsidR="00D17E2D" w:rsidRPr="00652C41" w:rsidRDefault="00F40518" w:rsidP="00D17E2D">
      <w:pPr>
        <w:rPr>
          <w:b/>
        </w:rPr>
      </w:pPr>
      <w:r w:rsidRPr="00F40518">
        <w:rPr>
          <w:b/>
        </w:rPr>
        <w:t>13. State laws limiting prescribing of opioids usually have exceptions for the following EXCEPT:</w:t>
      </w:r>
    </w:p>
    <w:p w:rsidR="00D17E2D" w:rsidRDefault="00D17E2D" w:rsidP="00D17E2D">
      <w:pPr>
        <w:pStyle w:val="ListParagraph"/>
        <w:numPr>
          <w:ilvl w:val="0"/>
          <w:numId w:val="13"/>
        </w:numPr>
      </w:pPr>
      <w:r>
        <w:t>Cancer pain</w:t>
      </w:r>
    </w:p>
    <w:p w:rsidR="00D17E2D" w:rsidRDefault="00D17E2D" w:rsidP="00D17E2D">
      <w:pPr>
        <w:pStyle w:val="ListParagraph"/>
        <w:numPr>
          <w:ilvl w:val="0"/>
          <w:numId w:val="13"/>
        </w:numPr>
      </w:pPr>
      <w:r>
        <w:t>Hospice care</w:t>
      </w:r>
    </w:p>
    <w:p w:rsidR="00D17E2D" w:rsidRDefault="00D17E2D" w:rsidP="00D17E2D">
      <w:pPr>
        <w:pStyle w:val="ListParagraph"/>
        <w:numPr>
          <w:ilvl w:val="0"/>
          <w:numId w:val="13"/>
        </w:numPr>
      </w:pPr>
      <w:r>
        <w:t>Schedule III combination pr</w:t>
      </w:r>
      <w:r w:rsidR="00F1347A">
        <w:t xml:space="preserve">oducts written by dentists   </w:t>
      </w:r>
    </w:p>
    <w:p w:rsidR="00D17E2D" w:rsidRDefault="00D17E2D" w:rsidP="00D17E2D">
      <w:pPr>
        <w:pStyle w:val="ListParagraph"/>
        <w:numPr>
          <w:ilvl w:val="0"/>
          <w:numId w:val="13"/>
        </w:numPr>
      </w:pPr>
      <w:r>
        <w:t xml:space="preserve">Treatment of substance use disorder </w:t>
      </w:r>
    </w:p>
    <w:p w:rsidR="00D17E2D" w:rsidRDefault="00D17E2D" w:rsidP="00D17E2D"/>
    <w:p w:rsidR="00D17E2D" w:rsidRDefault="00D17E2D" w:rsidP="00D17E2D"/>
    <w:p w:rsidR="00290B9F" w:rsidRPr="00652C41" w:rsidRDefault="00F40518" w:rsidP="00290B9F">
      <w:pPr>
        <w:rPr>
          <w:b/>
        </w:rPr>
      </w:pPr>
      <w:r w:rsidRPr="00F40518">
        <w:rPr>
          <w:b/>
        </w:rPr>
        <w:t>14. Prescriptions written for opioid drugs have been declining since:</w:t>
      </w:r>
    </w:p>
    <w:p w:rsidR="00290B9F" w:rsidRDefault="00290B9F" w:rsidP="00290B9F">
      <w:pPr>
        <w:pStyle w:val="ListParagraph"/>
        <w:numPr>
          <w:ilvl w:val="0"/>
          <w:numId w:val="2"/>
        </w:numPr>
      </w:pPr>
      <w:r>
        <w:t>2005</w:t>
      </w:r>
    </w:p>
    <w:p w:rsidR="00290B9F" w:rsidRDefault="00290B9F" w:rsidP="00290B9F">
      <w:pPr>
        <w:pStyle w:val="ListParagraph"/>
        <w:numPr>
          <w:ilvl w:val="0"/>
          <w:numId w:val="2"/>
        </w:numPr>
      </w:pPr>
      <w:r>
        <w:t>2010</w:t>
      </w:r>
    </w:p>
    <w:p w:rsidR="00290B9F" w:rsidRDefault="00290B9F" w:rsidP="00290B9F">
      <w:pPr>
        <w:pStyle w:val="ListParagraph"/>
        <w:numPr>
          <w:ilvl w:val="0"/>
          <w:numId w:val="2"/>
        </w:numPr>
      </w:pPr>
      <w:r>
        <w:t xml:space="preserve">2014 following the up-scheduling of hydrocodone combination products </w:t>
      </w:r>
    </w:p>
    <w:p w:rsidR="00290B9F" w:rsidRDefault="00290B9F" w:rsidP="00290B9F">
      <w:pPr>
        <w:pStyle w:val="ListParagraph"/>
        <w:numPr>
          <w:ilvl w:val="0"/>
          <w:numId w:val="2"/>
        </w:numPr>
      </w:pPr>
      <w:r>
        <w:t>None of these; they are continuing to rise</w:t>
      </w:r>
    </w:p>
    <w:p w:rsidR="00290B9F" w:rsidRDefault="00290B9F" w:rsidP="00290B9F"/>
    <w:p w:rsidR="00290B9F" w:rsidRDefault="00290B9F" w:rsidP="00290B9F"/>
    <w:p w:rsidR="00290B9F" w:rsidRPr="00652C41" w:rsidRDefault="00F40518" w:rsidP="00290B9F">
      <w:pPr>
        <w:rPr>
          <w:b/>
        </w:rPr>
      </w:pPr>
      <w:r w:rsidRPr="00F40518">
        <w:rPr>
          <w:b/>
        </w:rPr>
        <w:t xml:space="preserve">15. Patient factors </w:t>
      </w:r>
      <w:r w:rsidR="00652C41">
        <w:rPr>
          <w:b/>
        </w:rPr>
        <w:t>that</w:t>
      </w:r>
      <w:r w:rsidRPr="00F40518">
        <w:rPr>
          <w:b/>
        </w:rPr>
        <w:t xml:space="preserve"> increase the risk of becoming addicted to opioids include the following </w:t>
      </w:r>
      <w:r w:rsidRPr="00F40518">
        <w:rPr>
          <w:b/>
          <w:u w:val="single"/>
        </w:rPr>
        <w:t>EXCEPT</w:t>
      </w:r>
      <w:r w:rsidRPr="00F40518">
        <w:rPr>
          <w:b/>
        </w:rPr>
        <w:t>:</w:t>
      </w:r>
    </w:p>
    <w:p w:rsidR="00290B9F" w:rsidRPr="00A83521" w:rsidRDefault="00290B9F" w:rsidP="00290B9F">
      <w:pPr>
        <w:pStyle w:val="ListParagraph"/>
        <w:numPr>
          <w:ilvl w:val="0"/>
          <w:numId w:val="23"/>
        </w:num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A83521">
        <w:rPr>
          <w:rFonts w:ascii="Arial" w:hAnsi="Arial" w:cs="Arial"/>
          <w:color w:val="000000"/>
          <w:sz w:val="20"/>
          <w:szCs w:val="20"/>
        </w:rPr>
        <w:t xml:space="preserve"> history of substance use disorder </w:t>
      </w:r>
    </w:p>
    <w:p w:rsidR="00290B9F" w:rsidRPr="00A83521" w:rsidRDefault="00290B9F" w:rsidP="00290B9F">
      <w:pPr>
        <w:pStyle w:val="ListParagraph"/>
        <w:numPr>
          <w:ilvl w:val="0"/>
          <w:numId w:val="23"/>
        </w:num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A83521">
        <w:rPr>
          <w:rFonts w:ascii="Arial" w:hAnsi="Arial" w:cs="Arial"/>
          <w:color w:val="000000"/>
          <w:sz w:val="20"/>
          <w:szCs w:val="20"/>
        </w:rPr>
        <w:t>ajor depression</w:t>
      </w:r>
    </w:p>
    <w:p w:rsidR="00290B9F" w:rsidRPr="00E412EE" w:rsidRDefault="00290B9F" w:rsidP="00290B9F">
      <w:pPr>
        <w:pStyle w:val="ListParagraph"/>
        <w:numPr>
          <w:ilvl w:val="0"/>
          <w:numId w:val="23"/>
        </w:numPr>
      </w:pPr>
      <w:r>
        <w:rPr>
          <w:rFonts w:ascii="Arial" w:hAnsi="Arial" w:cs="Arial"/>
          <w:color w:val="000000"/>
          <w:sz w:val="20"/>
          <w:szCs w:val="20"/>
        </w:rPr>
        <w:t>Younger age</w:t>
      </w:r>
    </w:p>
    <w:p w:rsidR="00290B9F" w:rsidRPr="008B13E7" w:rsidRDefault="00F1347A" w:rsidP="00290B9F">
      <w:pPr>
        <w:pStyle w:val="ListParagraph"/>
        <w:numPr>
          <w:ilvl w:val="0"/>
          <w:numId w:val="23"/>
        </w:numPr>
      </w:pPr>
      <w:r>
        <w:rPr>
          <w:rFonts w:ascii="Arial" w:hAnsi="Arial" w:cs="Arial"/>
          <w:color w:val="000000"/>
          <w:sz w:val="20"/>
          <w:szCs w:val="20"/>
        </w:rPr>
        <w:t xml:space="preserve">Lower economic status </w:t>
      </w:r>
    </w:p>
    <w:p w:rsidR="00290B9F" w:rsidRDefault="00290B9F" w:rsidP="00290B9F"/>
    <w:p w:rsidR="00A60769" w:rsidRDefault="00A60769" w:rsidP="00D17E2D"/>
    <w:p w:rsidR="005226F3" w:rsidRPr="00652C41" w:rsidRDefault="00F40518" w:rsidP="005226F3">
      <w:pPr>
        <w:rPr>
          <w:b/>
        </w:rPr>
      </w:pPr>
      <w:r w:rsidRPr="00F40518">
        <w:rPr>
          <w:b/>
        </w:rPr>
        <w:t xml:space="preserve">16. Heroin surpassed prescription opioids as a leading cause of overdose deaths because of the following </w:t>
      </w:r>
      <w:r w:rsidRPr="00F40518">
        <w:rPr>
          <w:b/>
          <w:u w:val="single"/>
        </w:rPr>
        <w:t>EXCEPT</w:t>
      </w:r>
      <w:r w:rsidRPr="00F40518">
        <w:rPr>
          <w:b/>
        </w:rPr>
        <w:t>:</w:t>
      </w:r>
    </w:p>
    <w:p w:rsidR="005226F3" w:rsidRPr="00E67A83" w:rsidRDefault="005226F3" w:rsidP="005226F3">
      <w:pPr>
        <w:pStyle w:val="textbox"/>
        <w:numPr>
          <w:ilvl w:val="0"/>
          <w:numId w:val="16"/>
        </w:numPr>
        <w:spacing w:before="0" w:beforeAutospacing="0" w:after="0" w:afterAutospacing="0" w:line="166" w:lineRule="atLeast"/>
        <w:rPr>
          <w:rFonts w:asciiTheme="minorHAnsi" w:hAnsiTheme="minorHAnsi" w:cstheme="minorHAnsi"/>
          <w:sz w:val="22"/>
          <w:szCs w:val="22"/>
        </w:rPr>
      </w:pPr>
      <w:r w:rsidRPr="00E67A83">
        <w:rPr>
          <w:rFonts w:asciiTheme="minorHAnsi" w:hAnsiTheme="minorHAnsi" w:cstheme="minorHAnsi"/>
          <w:sz w:val="22"/>
          <w:szCs w:val="22"/>
        </w:rPr>
        <w:t xml:space="preserve">Heroin has become cheaper in the last two decades  </w:t>
      </w:r>
    </w:p>
    <w:p w:rsidR="005226F3" w:rsidRPr="00E67A83" w:rsidRDefault="005226F3" w:rsidP="005226F3">
      <w:pPr>
        <w:pStyle w:val="textbox"/>
        <w:numPr>
          <w:ilvl w:val="0"/>
          <w:numId w:val="16"/>
        </w:numPr>
        <w:spacing w:before="0" w:beforeAutospacing="0" w:after="0" w:afterAutospacing="0" w:line="166" w:lineRule="atLeast"/>
        <w:rPr>
          <w:rFonts w:asciiTheme="minorHAnsi" w:hAnsiTheme="minorHAnsi" w:cstheme="minorHAnsi"/>
          <w:sz w:val="22"/>
          <w:szCs w:val="22"/>
        </w:rPr>
      </w:pPr>
      <w:r w:rsidRPr="00E67A83">
        <w:rPr>
          <w:rFonts w:asciiTheme="minorHAnsi" w:hAnsiTheme="minorHAnsi" w:cstheme="minorHAnsi"/>
          <w:sz w:val="22"/>
          <w:szCs w:val="22"/>
        </w:rPr>
        <w:t>Heroin has become available in purer forms</w:t>
      </w:r>
      <w:r w:rsidR="00F134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26F3" w:rsidRPr="00E67A83" w:rsidRDefault="005226F3" w:rsidP="005226F3">
      <w:pPr>
        <w:pStyle w:val="textbox"/>
        <w:numPr>
          <w:ilvl w:val="0"/>
          <w:numId w:val="16"/>
        </w:numPr>
        <w:spacing w:before="0" w:beforeAutospacing="0" w:after="0" w:afterAutospacing="0" w:line="166" w:lineRule="atLeast"/>
        <w:rPr>
          <w:rFonts w:asciiTheme="minorHAnsi" w:hAnsiTheme="minorHAnsi" w:cstheme="minorHAnsi"/>
          <w:sz w:val="22"/>
          <w:szCs w:val="22"/>
        </w:rPr>
      </w:pPr>
      <w:r w:rsidRPr="00E67A83">
        <w:rPr>
          <w:rFonts w:asciiTheme="minorHAnsi" w:hAnsiTheme="minorHAnsi" w:cstheme="minorHAnsi"/>
          <w:sz w:val="22"/>
          <w:szCs w:val="22"/>
        </w:rPr>
        <w:t>Heroin has become easier to find</w:t>
      </w:r>
    </w:p>
    <w:p w:rsidR="005226F3" w:rsidRDefault="005226F3" w:rsidP="005226F3">
      <w:pPr>
        <w:pStyle w:val="textbox"/>
        <w:numPr>
          <w:ilvl w:val="0"/>
          <w:numId w:val="16"/>
        </w:numPr>
        <w:spacing w:before="0" w:beforeAutospacing="0" w:after="0" w:afterAutospacing="0" w:line="166" w:lineRule="atLeast"/>
        <w:rPr>
          <w:rFonts w:asciiTheme="minorHAnsi" w:hAnsiTheme="minorHAnsi" w:cstheme="minorHAnsi"/>
          <w:sz w:val="22"/>
          <w:szCs w:val="22"/>
        </w:rPr>
      </w:pPr>
      <w:r w:rsidRPr="00E67A83">
        <w:rPr>
          <w:rFonts w:asciiTheme="minorHAnsi" w:hAnsiTheme="minorHAnsi" w:cstheme="minorHAnsi"/>
          <w:sz w:val="22"/>
          <w:szCs w:val="22"/>
        </w:rPr>
        <w:t xml:space="preserve">Heroin is easier </w:t>
      </w:r>
      <w:r>
        <w:rPr>
          <w:rFonts w:asciiTheme="minorHAnsi" w:hAnsiTheme="minorHAnsi" w:cstheme="minorHAnsi"/>
          <w:sz w:val="22"/>
          <w:szCs w:val="22"/>
        </w:rPr>
        <w:t>(compared to manufactured products) to dissolve to the p</w:t>
      </w:r>
      <w:r w:rsidRPr="00E67A83">
        <w:rPr>
          <w:rFonts w:asciiTheme="minorHAnsi" w:hAnsiTheme="minorHAnsi" w:cstheme="minorHAnsi"/>
          <w:sz w:val="22"/>
          <w:szCs w:val="22"/>
        </w:rPr>
        <w:t>referred IV injection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26F3" w:rsidRDefault="005226F3" w:rsidP="005226F3"/>
    <w:p w:rsidR="001D428F" w:rsidRDefault="001D428F" w:rsidP="005226F3"/>
    <w:p w:rsidR="001D428F" w:rsidRPr="00652C41" w:rsidRDefault="00F40518" w:rsidP="001D428F">
      <w:pPr>
        <w:rPr>
          <w:b/>
        </w:rPr>
      </w:pPr>
      <w:r w:rsidRPr="00F40518">
        <w:rPr>
          <w:b/>
        </w:rPr>
        <w:t xml:space="preserve">17. Fentanyls pose a very high risk because of all the following factors </w:t>
      </w:r>
      <w:r w:rsidRPr="00F40518">
        <w:rPr>
          <w:b/>
          <w:u w:val="single"/>
        </w:rPr>
        <w:t>EXCEPT</w:t>
      </w:r>
      <w:r w:rsidRPr="00F40518">
        <w:rPr>
          <w:b/>
        </w:rPr>
        <w:t>:</w:t>
      </w:r>
    </w:p>
    <w:p w:rsidR="001D428F" w:rsidRDefault="001D428F" w:rsidP="001D428F">
      <w:pPr>
        <w:pStyle w:val="ListParagraph"/>
        <w:numPr>
          <w:ilvl w:val="0"/>
          <w:numId w:val="15"/>
        </w:numPr>
      </w:pPr>
      <w:r w:rsidRPr="000C511A">
        <w:t>They are highly potent</w:t>
      </w:r>
      <w:r>
        <w:t xml:space="preserve"> </w:t>
      </w:r>
    </w:p>
    <w:p w:rsidR="001D428F" w:rsidRDefault="001D428F" w:rsidP="001D428F">
      <w:pPr>
        <w:pStyle w:val="ListParagraph"/>
        <w:numPr>
          <w:ilvl w:val="0"/>
          <w:numId w:val="15"/>
        </w:numPr>
      </w:pPr>
      <w:r w:rsidRPr="000C511A">
        <w:t>They are often added to other drugs without the user’s knowledge</w:t>
      </w:r>
      <w:r>
        <w:t xml:space="preserve"> </w:t>
      </w:r>
    </w:p>
    <w:p w:rsidR="001D428F" w:rsidRDefault="001D428F" w:rsidP="001D428F">
      <w:pPr>
        <w:pStyle w:val="ListParagraph"/>
        <w:numPr>
          <w:ilvl w:val="0"/>
          <w:numId w:val="15"/>
        </w:numPr>
      </w:pPr>
      <w:r w:rsidRPr="000C511A">
        <w:t xml:space="preserve">There has been a surge in </w:t>
      </w:r>
      <w:r>
        <w:t xml:space="preserve">fentanyl </w:t>
      </w:r>
      <w:r w:rsidRPr="000C511A">
        <w:t>prescriptions written as a replacement for hydrocodone</w:t>
      </w:r>
      <w:r w:rsidR="00F1347A">
        <w:t xml:space="preserve"> which are easily diverted </w:t>
      </w:r>
    </w:p>
    <w:p w:rsidR="001D428F" w:rsidRPr="000C511A" w:rsidRDefault="001D428F" w:rsidP="001D428F">
      <w:pPr>
        <w:pStyle w:val="ListParagraph"/>
        <w:numPr>
          <w:ilvl w:val="0"/>
          <w:numId w:val="15"/>
        </w:numPr>
      </w:pPr>
      <w:r>
        <w:t xml:space="preserve">They can be </w:t>
      </w:r>
      <w:r w:rsidR="006C7439">
        <w:t xml:space="preserve">absorbed through non-oral routes </w:t>
      </w:r>
    </w:p>
    <w:p w:rsidR="001D428F" w:rsidRDefault="001D428F" w:rsidP="001D428F"/>
    <w:p w:rsidR="001D428F" w:rsidRDefault="001D428F" w:rsidP="005226F3"/>
    <w:p w:rsidR="00DA0000" w:rsidRPr="00652C41" w:rsidRDefault="00F40518" w:rsidP="00DA0000">
      <w:pPr>
        <w:rPr>
          <w:b/>
        </w:rPr>
      </w:pPr>
      <w:r w:rsidRPr="00F40518">
        <w:rPr>
          <w:b/>
        </w:rPr>
        <w:t>18. A fentanyl analog that is 10,000 times as potent as morphine and is being detected in overdose victims is:</w:t>
      </w:r>
    </w:p>
    <w:p w:rsidR="006851D1" w:rsidRDefault="006851D1" w:rsidP="006851D1">
      <w:pPr>
        <w:pStyle w:val="ListParagraph"/>
        <w:numPr>
          <w:ilvl w:val="0"/>
          <w:numId w:val="18"/>
        </w:numPr>
      </w:pPr>
      <w:r>
        <w:t>Sufenta</w:t>
      </w:r>
      <w:r w:rsidR="00013F4F">
        <w:t>nil</w:t>
      </w:r>
    </w:p>
    <w:p w:rsidR="00013F4F" w:rsidRDefault="00013F4F" w:rsidP="006851D1">
      <w:pPr>
        <w:pStyle w:val="ListParagraph"/>
        <w:numPr>
          <w:ilvl w:val="0"/>
          <w:numId w:val="18"/>
        </w:numPr>
      </w:pPr>
      <w:r>
        <w:t>Carfentanil</w:t>
      </w:r>
      <w:r w:rsidR="00F1347A">
        <w:t xml:space="preserve"> </w:t>
      </w:r>
    </w:p>
    <w:p w:rsidR="00944898" w:rsidRDefault="00D10E26" w:rsidP="006851D1">
      <w:pPr>
        <w:pStyle w:val="ListParagraph"/>
        <w:numPr>
          <w:ilvl w:val="0"/>
          <w:numId w:val="18"/>
        </w:numPr>
      </w:pPr>
      <w:r>
        <w:t>Sufentanil, but this is a therapeutic drug</w:t>
      </w:r>
      <w:r w:rsidR="00944898">
        <w:t xml:space="preserve"> and has not been detected in overdose victims</w:t>
      </w:r>
    </w:p>
    <w:p w:rsidR="00D10E26" w:rsidRDefault="00944898" w:rsidP="006851D1">
      <w:pPr>
        <w:pStyle w:val="ListParagraph"/>
        <w:numPr>
          <w:ilvl w:val="0"/>
          <w:numId w:val="18"/>
        </w:numPr>
      </w:pPr>
      <w:r>
        <w:t>There is no drug with kind of potency</w:t>
      </w:r>
      <w:r w:rsidR="00D10E26">
        <w:t xml:space="preserve"> </w:t>
      </w:r>
    </w:p>
    <w:p w:rsidR="00DA0000" w:rsidRDefault="00DA0000" w:rsidP="00DA0000"/>
    <w:p w:rsidR="00652C41" w:rsidRDefault="00652C41" w:rsidP="009A0199"/>
    <w:p w:rsidR="00A365DD" w:rsidRPr="00652C41" w:rsidRDefault="00F40518" w:rsidP="00A365DD">
      <w:pPr>
        <w:rPr>
          <w:b/>
        </w:rPr>
      </w:pPr>
      <w:r w:rsidRPr="00F40518">
        <w:rPr>
          <w:b/>
        </w:rPr>
        <w:t xml:space="preserve">19. </w:t>
      </w:r>
      <w:r w:rsidR="00652C41">
        <w:rPr>
          <w:b/>
        </w:rPr>
        <w:t>A patient who has received prescriptions for opioids for six months for chronic back pain comes to the pharmacy with a new prescription</w:t>
      </w:r>
      <w:r w:rsidR="002C3BB8">
        <w:rPr>
          <w:b/>
        </w:rPr>
        <w:t xml:space="preserve"> for a benzodiazepine (diazepam</w:t>
      </w:r>
      <w:r w:rsidR="00652C41">
        <w:rPr>
          <w:b/>
        </w:rPr>
        <w:t xml:space="preserve"> 5 mg TID, #60)</w:t>
      </w:r>
      <w:r w:rsidR="002C3BB8">
        <w:rPr>
          <w:b/>
        </w:rPr>
        <w:t xml:space="preserve">. You practiced in Connecticut </w:t>
      </w:r>
      <w:r w:rsidR="00652C41">
        <w:rPr>
          <w:b/>
        </w:rPr>
        <w:t>for years, but recently, you relocated to Hawaii (Lucky you, and ALOHA!).  Since you recently passed the law exam, you know that:</w:t>
      </w:r>
    </w:p>
    <w:p w:rsidR="00A365DD" w:rsidRDefault="00652C41" w:rsidP="00A365DD">
      <w:pPr>
        <w:pStyle w:val="ListParagraph"/>
        <w:numPr>
          <w:ilvl w:val="0"/>
          <w:numId w:val="4"/>
        </w:numPr>
      </w:pPr>
      <w:r>
        <w:t>You cannot dispense the full amount of diazepam for this patient</w:t>
      </w:r>
      <w:r w:rsidR="00D14294">
        <w:t xml:space="preserve"> because Hawaii limits quantities if benzodiazepines are prescribed with opioids</w:t>
      </w:r>
      <w:r>
        <w:t>.</w:t>
      </w:r>
      <w:r w:rsidR="00F1347A">
        <w:t xml:space="preserve"> </w:t>
      </w:r>
    </w:p>
    <w:p w:rsidR="007200A2" w:rsidRDefault="00652C41" w:rsidP="009F3753">
      <w:pPr>
        <w:pStyle w:val="ListParagraph"/>
        <w:numPr>
          <w:ilvl w:val="0"/>
          <w:numId w:val="4"/>
        </w:numPr>
      </w:pPr>
      <w:r>
        <w:t>You can dispense, but you must warn the patient about</w:t>
      </w:r>
      <w:r w:rsidR="00A365DD">
        <w:t xml:space="preserve"> seizure risk </w:t>
      </w:r>
    </w:p>
    <w:p w:rsidR="00A365DD" w:rsidRDefault="00D14294" w:rsidP="009F3753">
      <w:pPr>
        <w:pStyle w:val="ListParagraph"/>
        <w:numPr>
          <w:ilvl w:val="0"/>
          <w:numId w:val="4"/>
        </w:numPr>
      </w:pPr>
      <w:r>
        <w:t>You can dispense; the</w:t>
      </w:r>
      <w:r w:rsidR="00A365DD">
        <w:t xml:space="preserve"> CDC </w:t>
      </w:r>
      <w:r>
        <w:t xml:space="preserve">recommends opioids+ benzodiazepines to </w:t>
      </w:r>
      <w:r w:rsidR="00A365DD">
        <w:t>reduce anxiety associated with pain</w:t>
      </w:r>
    </w:p>
    <w:p w:rsidR="00A365DD" w:rsidRDefault="00A365DD" w:rsidP="00A365DD"/>
    <w:p w:rsidR="00A365DD" w:rsidRDefault="00A365DD" w:rsidP="00492235"/>
    <w:p w:rsidR="00D07C18" w:rsidRPr="00652C41" w:rsidRDefault="00F40518" w:rsidP="00D07C18">
      <w:pPr>
        <w:rPr>
          <w:b/>
        </w:rPr>
      </w:pPr>
      <w:r w:rsidRPr="00F40518">
        <w:rPr>
          <w:b/>
        </w:rPr>
        <w:t>20. A pharmacist receives a highly questionable prescription for an opioid drug. Which of the following is correct according to DEA guidelines?</w:t>
      </w:r>
    </w:p>
    <w:p w:rsidR="00D07C18" w:rsidRDefault="00D07C18" w:rsidP="00D07C18">
      <w:pPr>
        <w:pStyle w:val="ListParagraph"/>
        <w:numPr>
          <w:ilvl w:val="0"/>
          <w:numId w:val="22"/>
        </w:numPr>
      </w:pPr>
      <w:r>
        <w:t>The pharmacist should fill the prescription as written</w:t>
      </w:r>
    </w:p>
    <w:p w:rsidR="00D07C18" w:rsidRDefault="00D07C18" w:rsidP="00D07C18">
      <w:pPr>
        <w:pStyle w:val="ListParagraph"/>
        <w:numPr>
          <w:ilvl w:val="0"/>
          <w:numId w:val="22"/>
        </w:numPr>
      </w:pPr>
      <w:r>
        <w:t xml:space="preserve">The pharmacist should advise the patient of the risks before dispensing the prescription </w:t>
      </w:r>
    </w:p>
    <w:p w:rsidR="00D07C18" w:rsidRDefault="00D07C18" w:rsidP="00D07C18">
      <w:pPr>
        <w:pStyle w:val="ListParagraph"/>
        <w:numPr>
          <w:ilvl w:val="0"/>
          <w:numId w:val="22"/>
        </w:numPr>
      </w:pPr>
      <w:r>
        <w:t>The pharmacist should check with the prescriber to make sure it is not fraudulent</w:t>
      </w:r>
    </w:p>
    <w:p w:rsidR="00D07C18" w:rsidRDefault="00D07C18" w:rsidP="00D07C18">
      <w:pPr>
        <w:pStyle w:val="ListParagraph"/>
        <w:numPr>
          <w:ilvl w:val="0"/>
          <w:numId w:val="22"/>
        </w:numPr>
      </w:pPr>
      <w:r>
        <w:t xml:space="preserve">The pharmacist </w:t>
      </w:r>
      <w:r w:rsidR="00D14294">
        <w:t>can</w:t>
      </w:r>
      <w:r>
        <w:t xml:space="preserve"> use his/her professional </w:t>
      </w:r>
      <w:r w:rsidR="00D14294">
        <w:t>judgment</w:t>
      </w:r>
      <w:r>
        <w:t xml:space="preserve"> </w:t>
      </w:r>
      <w:r w:rsidR="00D14294">
        <w:t>to decide</w:t>
      </w:r>
      <w:r>
        <w:t xml:space="preserve"> wheth</w:t>
      </w:r>
      <w:r w:rsidR="00F1347A">
        <w:t xml:space="preserve">er to fill the prescription. </w:t>
      </w:r>
    </w:p>
    <w:p w:rsidR="00D07C18" w:rsidRDefault="00D07C18" w:rsidP="00D07C18"/>
    <w:p w:rsidR="00665B0A" w:rsidRDefault="00665B0A" w:rsidP="00DA0000"/>
    <w:sectPr w:rsidR="00665B0A" w:rsidSect="00C53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36B"/>
    <w:multiLevelType w:val="hybridMultilevel"/>
    <w:tmpl w:val="2416D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544"/>
    <w:multiLevelType w:val="hybridMultilevel"/>
    <w:tmpl w:val="28D00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7691"/>
    <w:multiLevelType w:val="hybridMultilevel"/>
    <w:tmpl w:val="E850E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4B9"/>
    <w:multiLevelType w:val="hybridMultilevel"/>
    <w:tmpl w:val="1DFA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5EF3"/>
    <w:multiLevelType w:val="hybridMultilevel"/>
    <w:tmpl w:val="8BC8F1CA"/>
    <w:lvl w:ilvl="0" w:tplc="CB7257D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3E24"/>
    <w:multiLevelType w:val="hybridMultilevel"/>
    <w:tmpl w:val="6D42D618"/>
    <w:lvl w:ilvl="0" w:tplc="B04E1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44821"/>
    <w:multiLevelType w:val="hybridMultilevel"/>
    <w:tmpl w:val="A2A6659C"/>
    <w:lvl w:ilvl="0" w:tplc="A742F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3842"/>
    <w:multiLevelType w:val="hybridMultilevel"/>
    <w:tmpl w:val="4D400E5E"/>
    <w:lvl w:ilvl="0" w:tplc="9F923F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436DB"/>
    <w:multiLevelType w:val="hybridMultilevel"/>
    <w:tmpl w:val="BAB89BD8"/>
    <w:lvl w:ilvl="0" w:tplc="20BAF19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8540E95"/>
    <w:multiLevelType w:val="hybridMultilevel"/>
    <w:tmpl w:val="B42ECA06"/>
    <w:lvl w:ilvl="0" w:tplc="B04E1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3743E"/>
    <w:multiLevelType w:val="hybridMultilevel"/>
    <w:tmpl w:val="9F6A0E72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3286C4D"/>
    <w:multiLevelType w:val="hybridMultilevel"/>
    <w:tmpl w:val="4306A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13A14"/>
    <w:multiLevelType w:val="hybridMultilevel"/>
    <w:tmpl w:val="3E7C6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20DA2"/>
    <w:multiLevelType w:val="hybridMultilevel"/>
    <w:tmpl w:val="0CD47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84940"/>
    <w:multiLevelType w:val="hybridMultilevel"/>
    <w:tmpl w:val="29E0B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63F4B"/>
    <w:multiLevelType w:val="hybridMultilevel"/>
    <w:tmpl w:val="C242D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07CD4"/>
    <w:multiLevelType w:val="hybridMultilevel"/>
    <w:tmpl w:val="91AC0E42"/>
    <w:lvl w:ilvl="0" w:tplc="E25A55D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396435E"/>
    <w:multiLevelType w:val="hybridMultilevel"/>
    <w:tmpl w:val="0DC46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A2D18"/>
    <w:multiLevelType w:val="hybridMultilevel"/>
    <w:tmpl w:val="27DC7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751F7"/>
    <w:multiLevelType w:val="hybridMultilevel"/>
    <w:tmpl w:val="85EE7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97D17"/>
    <w:multiLevelType w:val="hybridMultilevel"/>
    <w:tmpl w:val="5238821A"/>
    <w:lvl w:ilvl="0" w:tplc="8A72974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47B45"/>
    <w:multiLevelType w:val="hybridMultilevel"/>
    <w:tmpl w:val="3920E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B669C"/>
    <w:multiLevelType w:val="hybridMultilevel"/>
    <w:tmpl w:val="B8226FD2"/>
    <w:lvl w:ilvl="0" w:tplc="8A72974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107B7"/>
    <w:multiLevelType w:val="hybridMultilevel"/>
    <w:tmpl w:val="6270FC68"/>
    <w:lvl w:ilvl="0" w:tplc="BBB0D79C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44B3349"/>
    <w:multiLevelType w:val="hybridMultilevel"/>
    <w:tmpl w:val="C4C2E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B1337"/>
    <w:multiLevelType w:val="hybridMultilevel"/>
    <w:tmpl w:val="A0E88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A12AF"/>
    <w:multiLevelType w:val="hybridMultilevel"/>
    <w:tmpl w:val="A53EC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B1C6E"/>
    <w:multiLevelType w:val="hybridMultilevel"/>
    <w:tmpl w:val="37842EF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7AA551BB"/>
    <w:multiLevelType w:val="hybridMultilevel"/>
    <w:tmpl w:val="CE922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8512C"/>
    <w:multiLevelType w:val="hybridMultilevel"/>
    <w:tmpl w:val="F460A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8"/>
  </w:num>
  <w:num w:numId="4">
    <w:abstractNumId w:val="21"/>
  </w:num>
  <w:num w:numId="5">
    <w:abstractNumId w:val="23"/>
  </w:num>
  <w:num w:numId="6">
    <w:abstractNumId w:val="27"/>
  </w:num>
  <w:num w:numId="7">
    <w:abstractNumId w:val="29"/>
  </w:num>
  <w:num w:numId="8">
    <w:abstractNumId w:val="20"/>
  </w:num>
  <w:num w:numId="9">
    <w:abstractNumId w:val="13"/>
  </w:num>
  <w:num w:numId="10">
    <w:abstractNumId w:val="16"/>
  </w:num>
  <w:num w:numId="11">
    <w:abstractNumId w:val="12"/>
  </w:num>
  <w:num w:numId="12">
    <w:abstractNumId w:val="1"/>
  </w:num>
  <w:num w:numId="13">
    <w:abstractNumId w:val="11"/>
  </w:num>
  <w:num w:numId="14">
    <w:abstractNumId w:val="7"/>
  </w:num>
  <w:num w:numId="15">
    <w:abstractNumId w:val="26"/>
  </w:num>
  <w:num w:numId="16">
    <w:abstractNumId w:val="15"/>
  </w:num>
  <w:num w:numId="17">
    <w:abstractNumId w:val="25"/>
  </w:num>
  <w:num w:numId="18">
    <w:abstractNumId w:val="24"/>
  </w:num>
  <w:num w:numId="19">
    <w:abstractNumId w:val="17"/>
  </w:num>
  <w:num w:numId="20">
    <w:abstractNumId w:val="6"/>
  </w:num>
  <w:num w:numId="21">
    <w:abstractNumId w:val="0"/>
  </w:num>
  <w:num w:numId="22">
    <w:abstractNumId w:val="19"/>
  </w:num>
  <w:num w:numId="23">
    <w:abstractNumId w:val="4"/>
  </w:num>
  <w:num w:numId="24">
    <w:abstractNumId w:val="10"/>
  </w:num>
  <w:num w:numId="25">
    <w:abstractNumId w:val="8"/>
  </w:num>
  <w:num w:numId="26">
    <w:abstractNumId w:val="9"/>
  </w:num>
  <w:num w:numId="27">
    <w:abstractNumId w:val="5"/>
  </w:num>
  <w:num w:numId="28">
    <w:abstractNumId w:val="18"/>
  </w:num>
  <w:num w:numId="29">
    <w:abstractNumId w:val="2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00"/>
    <w:rsid w:val="000064BF"/>
    <w:rsid w:val="00013F4F"/>
    <w:rsid w:val="0002530C"/>
    <w:rsid w:val="00030ACD"/>
    <w:rsid w:val="00036378"/>
    <w:rsid w:val="00041BB1"/>
    <w:rsid w:val="00044C66"/>
    <w:rsid w:val="00046AF2"/>
    <w:rsid w:val="00056B1D"/>
    <w:rsid w:val="000759C8"/>
    <w:rsid w:val="000867FD"/>
    <w:rsid w:val="00086B11"/>
    <w:rsid w:val="00087A9E"/>
    <w:rsid w:val="000A444D"/>
    <w:rsid w:val="000A53AA"/>
    <w:rsid w:val="000A59C1"/>
    <w:rsid w:val="000A7D5D"/>
    <w:rsid w:val="000B276D"/>
    <w:rsid w:val="000B3A46"/>
    <w:rsid w:val="000C2D2C"/>
    <w:rsid w:val="000D02D1"/>
    <w:rsid w:val="000D5444"/>
    <w:rsid w:val="000E2EF4"/>
    <w:rsid w:val="000F78B8"/>
    <w:rsid w:val="001069C8"/>
    <w:rsid w:val="001074B8"/>
    <w:rsid w:val="00116A11"/>
    <w:rsid w:val="001170B3"/>
    <w:rsid w:val="00124DF7"/>
    <w:rsid w:val="0012635A"/>
    <w:rsid w:val="00132AF8"/>
    <w:rsid w:val="00150703"/>
    <w:rsid w:val="00161E46"/>
    <w:rsid w:val="00165313"/>
    <w:rsid w:val="00180848"/>
    <w:rsid w:val="00182148"/>
    <w:rsid w:val="001955BB"/>
    <w:rsid w:val="001963F3"/>
    <w:rsid w:val="001B5787"/>
    <w:rsid w:val="001C605C"/>
    <w:rsid w:val="001C65B0"/>
    <w:rsid w:val="001C7F81"/>
    <w:rsid w:val="001D0609"/>
    <w:rsid w:val="001D428F"/>
    <w:rsid w:val="001E2C50"/>
    <w:rsid w:val="001E5DD5"/>
    <w:rsid w:val="001E7181"/>
    <w:rsid w:val="0021641D"/>
    <w:rsid w:val="002205C7"/>
    <w:rsid w:val="0023153D"/>
    <w:rsid w:val="002517DB"/>
    <w:rsid w:val="0025342C"/>
    <w:rsid w:val="00267371"/>
    <w:rsid w:val="0026771D"/>
    <w:rsid w:val="002825E2"/>
    <w:rsid w:val="00290B9F"/>
    <w:rsid w:val="002C3BB8"/>
    <w:rsid w:val="002F7007"/>
    <w:rsid w:val="00312AB2"/>
    <w:rsid w:val="00322E43"/>
    <w:rsid w:val="0033064D"/>
    <w:rsid w:val="003307CA"/>
    <w:rsid w:val="0033750D"/>
    <w:rsid w:val="003802CA"/>
    <w:rsid w:val="0038054F"/>
    <w:rsid w:val="00385046"/>
    <w:rsid w:val="00396F39"/>
    <w:rsid w:val="003975AA"/>
    <w:rsid w:val="003C2C48"/>
    <w:rsid w:val="003E7606"/>
    <w:rsid w:val="003F0E65"/>
    <w:rsid w:val="003F3AC2"/>
    <w:rsid w:val="003F67A4"/>
    <w:rsid w:val="00401AB6"/>
    <w:rsid w:val="00407572"/>
    <w:rsid w:val="00407E4F"/>
    <w:rsid w:val="0041238F"/>
    <w:rsid w:val="004506E4"/>
    <w:rsid w:val="00476AC1"/>
    <w:rsid w:val="00480094"/>
    <w:rsid w:val="00481915"/>
    <w:rsid w:val="00492235"/>
    <w:rsid w:val="00493025"/>
    <w:rsid w:val="004A0E9A"/>
    <w:rsid w:val="004D30E7"/>
    <w:rsid w:val="00502A6F"/>
    <w:rsid w:val="00504751"/>
    <w:rsid w:val="0050690E"/>
    <w:rsid w:val="00513F72"/>
    <w:rsid w:val="005226F3"/>
    <w:rsid w:val="00526A14"/>
    <w:rsid w:val="00550CA7"/>
    <w:rsid w:val="00565D6F"/>
    <w:rsid w:val="0058261D"/>
    <w:rsid w:val="00582B36"/>
    <w:rsid w:val="005A2114"/>
    <w:rsid w:val="005A334B"/>
    <w:rsid w:val="005B3033"/>
    <w:rsid w:val="005B3083"/>
    <w:rsid w:val="005D23BA"/>
    <w:rsid w:val="005D6DDC"/>
    <w:rsid w:val="005E4415"/>
    <w:rsid w:val="005E4DBB"/>
    <w:rsid w:val="00604EA7"/>
    <w:rsid w:val="0062099A"/>
    <w:rsid w:val="0062602A"/>
    <w:rsid w:val="00632E7C"/>
    <w:rsid w:val="0063466D"/>
    <w:rsid w:val="00643187"/>
    <w:rsid w:val="00652C41"/>
    <w:rsid w:val="0066106C"/>
    <w:rsid w:val="006618D0"/>
    <w:rsid w:val="006659DE"/>
    <w:rsid w:val="00665B0A"/>
    <w:rsid w:val="00671A02"/>
    <w:rsid w:val="006851D1"/>
    <w:rsid w:val="00690B9A"/>
    <w:rsid w:val="006928D6"/>
    <w:rsid w:val="006C4545"/>
    <w:rsid w:val="006C4909"/>
    <w:rsid w:val="006C7439"/>
    <w:rsid w:val="006D4C6C"/>
    <w:rsid w:val="006E5252"/>
    <w:rsid w:val="007079F8"/>
    <w:rsid w:val="007200A2"/>
    <w:rsid w:val="00724907"/>
    <w:rsid w:val="007512DC"/>
    <w:rsid w:val="00760CF9"/>
    <w:rsid w:val="00764D0B"/>
    <w:rsid w:val="0077340E"/>
    <w:rsid w:val="00781EFC"/>
    <w:rsid w:val="00790DB5"/>
    <w:rsid w:val="00794AB2"/>
    <w:rsid w:val="007A54FE"/>
    <w:rsid w:val="007D0D42"/>
    <w:rsid w:val="007D4D37"/>
    <w:rsid w:val="007F22EF"/>
    <w:rsid w:val="007F4706"/>
    <w:rsid w:val="007F634B"/>
    <w:rsid w:val="00805652"/>
    <w:rsid w:val="00821582"/>
    <w:rsid w:val="00822F28"/>
    <w:rsid w:val="0083385F"/>
    <w:rsid w:val="008378D9"/>
    <w:rsid w:val="0086658E"/>
    <w:rsid w:val="0087660F"/>
    <w:rsid w:val="00876CF9"/>
    <w:rsid w:val="008912DD"/>
    <w:rsid w:val="00895B4F"/>
    <w:rsid w:val="008974D3"/>
    <w:rsid w:val="008A2B1B"/>
    <w:rsid w:val="008B08FC"/>
    <w:rsid w:val="008B13E7"/>
    <w:rsid w:val="008B5087"/>
    <w:rsid w:val="008C6BE4"/>
    <w:rsid w:val="008D45D9"/>
    <w:rsid w:val="008D7DC1"/>
    <w:rsid w:val="008F59DA"/>
    <w:rsid w:val="0090383E"/>
    <w:rsid w:val="00917BD5"/>
    <w:rsid w:val="00930CFA"/>
    <w:rsid w:val="00944898"/>
    <w:rsid w:val="0095040A"/>
    <w:rsid w:val="009577DD"/>
    <w:rsid w:val="009802F6"/>
    <w:rsid w:val="00990350"/>
    <w:rsid w:val="009A0199"/>
    <w:rsid w:val="009B15E1"/>
    <w:rsid w:val="009B1B4B"/>
    <w:rsid w:val="009B43D7"/>
    <w:rsid w:val="009D46AC"/>
    <w:rsid w:val="009F4106"/>
    <w:rsid w:val="00A14979"/>
    <w:rsid w:val="00A22378"/>
    <w:rsid w:val="00A26F0F"/>
    <w:rsid w:val="00A34FAD"/>
    <w:rsid w:val="00A361A1"/>
    <w:rsid w:val="00A365DD"/>
    <w:rsid w:val="00A5367D"/>
    <w:rsid w:val="00A60769"/>
    <w:rsid w:val="00A75516"/>
    <w:rsid w:val="00A81B3B"/>
    <w:rsid w:val="00A83521"/>
    <w:rsid w:val="00A859D6"/>
    <w:rsid w:val="00A87C01"/>
    <w:rsid w:val="00AA183A"/>
    <w:rsid w:val="00AA5835"/>
    <w:rsid w:val="00AA5F6E"/>
    <w:rsid w:val="00AB5F9C"/>
    <w:rsid w:val="00AC02D6"/>
    <w:rsid w:val="00AD14BB"/>
    <w:rsid w:val="00AD71F0"/>
    <w:rsid w:val="00AF3264"/>
    <w:rsid w:val="00B17CDB"/>
    <w:rsid w:val="00B2137F"/>
    <w:rsid w:val="00B33DFC"/>
    <w:rsid w:val="00B438F4"/>
    <w:rsid w:val="00B53D2D"/>
    <w:rsid w:val="00B92446"/>
    <w:rsid w:val="00B97B4A"/>
    <w:rsid w:val="00BA028B"/>
    <w:rsid w:val="00BA2955"/>
    <w:rsid w:val="00BC294A"/>
    <w:rsid w:val="00BD2937"/>
    <w:rsid w:val="00BD7BAC"/>
    <w:rsid w:val="00BE012F"/>
    <w:rsid w:val="00BE6485"/>
    <w:rsid w:val="00BF38C7"/>
    <w:rsid w:val="00C27698"/>
    <w:rsid w:val="00C52817"/>
    <w:rsid w:val="00C53795"/>
    <w:rsid w:val="00C537C2"/>
    <w:rsid w:val="00C55C3D"/>
    <w:rsid w:val="00C565EB"/>
    <w:rsid w:val="00C5665E"/>
    <w:rsid w:val="00C71683"/>
    <w:rsid w:val="00C75A7B"/>
    <w:rsid w:val="00C8439B"/>
    <w:rsid w:val="00CC68BE"/>
    <w:rsid w:val="00CE2C48"/>
    <w:rsid w:val="00CE4354"/>
    <w:rsid w:val="00D05E55"/>
    <w:rsid w:val="00D07C18"/>
    <w:rsid w:val="00D10E26"/>
    <w:rsid w:val="00D14294"/>
    <w:rsid w:val="00D17E2D"/>
    <w:rsid w:val="00D20C8A"/>
    <w:rsid w:val="00D328CF"/>
    <w:rsid w:val="00D40C71"/>
    <w:rsid w:val="00D47736"/>
    <w:rsid w:val="00D51B7D"/>
    <w:rsid w:val="00D71E74"/>
    <w:rsid w:val="00D8619B"/>
    <w:rsid w:val="00D916E8"/>
    <w:rsid w:val="00D96CDF"/>
    <w:rsid w:val="00D972A1"/>
    <w:rsid w:val="00DA0000"/>
    <w:rsid w:val="00DB1686"/>
    <w:rsid w:val="00DB3325"/>
    <w:rsid w:val="00DC0383"/>
    <w:rsid w:val="00DD559F"/>
    <w:rsid w:val="00DD7BA9"/>
    <w:rsid w:val="00DE2428"/>
    <w:rsid w:val="00E22413"/>
    <w:rsid w:val="00E2404E"/>
    <w:rsid w:val="00E3371E"/>
    <w:rsid w:val="00E412EE"/>
    <w:rsid w:val="00E4570D"/>
    <w:rsid w:val="00E5646C"/>
    <w:rsid w:val="00E65B02"/>
    <w:rsid w:val="00E91394"/>
    <w:rsid w:val="00EA1996"/>
    <w:rsid w:val="00EA1DE6"/>
    <w:rsid w:val="00EB2600"/>
    <w:rsid w:val="00ED2103"/>
    <w:rsid w:val="00ED7AC0"/>
    <w:rsid w:val="00F04048"/>
    <w:rsid w:val="00F1347A"/>
    <w:rsid w:val="00F13D18"/>
    <w:rsid w:val="00F15AA7"/>
    <w:rsid w:val="00F1646D"/>
    <w:rsid w:val="00F258DD"/>
    <w:rsid w:val="00F31AEF"/>
    <w:rsid w:val="00F40518"/>
    <w:rsid w:val="00F57A00"/>
    <w:rsid w:val="00F662AD"/>
    <w:rsid w:val="00F67AE9"/>
    <w:rsid w:val="00F7401E"/>
    <w:rsid w:val="00FA23E7"/>
    <w:rsid w:val="00FA72E4"/>
    <w:rsid w:val="00FA7E19"/>
    <w:rsid w:val="00FB3D50"/>
    <w:rsid w:val="00FC2A3A"/>
    <w:rsid w:val="00FD26C8"/>
    <w:rsid w:val="00FE4A6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096FE-529C-4E77-A3F1-B5E573AB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00"/>
    <w:pPr>
      <w:ind w:left="720"/>
      <w:contextualSpacing/>
    </w:pPr>
  </w:style>
  <w:style w:type="paragraph" w:customStyle="1" w:styleId="textbox">
    <w:name w:val="textbox"/>
    <w:basedOn w:val="Normal"/>
    <w:rsid w:val="005D23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C4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3B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</Words>
  <Characters>5031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Gianutsos</dc:creator>
  <cp:lastModifiedBy>Nault, Joanne</cp:lastModifiedBy>
  <cp:revision>2</cp:revision>
  <dcterms:created xsi:type="dcterms:W3CDTF">2020-02-18T20:14:00Z</dcterms:created>
  <dcterms:modified xsi:type="dcterms:W3CDTF">2020-02-18T20:14:00Z</dcterms:modified>
</cp:coreProperties>
</file>