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8B" w:rsidRPr="00E316FA" w:rsidRDefault="008F04AC">
      <w:bookmarkStart w:id="0" w:name="_GoBack"/>
      <w:bookmarkEnd w:id="0"/>
      <w:r w:rsidRPr="00E316FA">
        <w:t xml:space="preserve">1.  </w:t>
      </w:r>
      <w:r w:rsidR="00663122" w:rsidRPr="00E316FA">
        <w:t>Alcohol interacts with warfarin through</w:t>
      </w:r>
    </w:p>
    <w:p w:rsidR="00663122" w:rsidRPr="00E316FA" w:rsidRDefault="00663122">
      <w:r w:rsidRPr="00E316FA">
        <w:t>A</w:t>
      </w:r>
      <w:r w:rsidRPr="00E316FA">
        <w:tab/>
        <w:t>CYP450 1A2</w:t>
      </w:r>
    </w:p>
    <w:p w:rsidR="00663122" w:rsidRPr="00E316FA" w:rsidRDefault="00663122">
      <w:r w:rsidRPr="00E316FA">
        <w:t>B</w:t>
      </w:r>
      <w:r w:rsidRPr="00E316FA">
        <w:tab/>
        <w:t>Alcohol dehydrogenase</w:t>
      </w:r>
    </w:p>
    <w:p w:rsidR="00663122" w:rsidRPr="00E316FA" w:rsidRDefault="00663122">
      <w:r w:rsidRPr="00E316FA">
        <w:t>C</w:t>
      </w:r>
      <w:r w:rsidRPr="00E316FA">
        <w:tab/>
        <w:t>Interaction has not been clearly defined</w:t>
      </w:r>
    </w:p>
    <w:p w:rsidR="00663122" w:rsidRPr="00E316FA" w:rsidRDefault="00663122">
      <w:r w:rsidRPr="00E316FA">
        <w:t>D</w:t>
      </w:r>
      <w:r w:rsidRPr="00E316FA">
        <w:tab/>
        <w:t>p-Glycoprotein</w:t>
      </w:r>
    </w:p>
    <w:p w:rsidR="00663122" w:rsidRPr="00E316FA" w:rsidRDefault="00663122"/>
    <w:p w:rsidR="00663122" w:rsidRPr="00E316FA" w:rsidRDefault="008F04AC">
      <w:r w:rsidRPr="00E316FA">
        <w:t xml:space="preserve">2.  </w:t>
      </w:r>
      <w:r w:rsidR="00663122" w:rsidRPr="00E316FA">
        <w:t>The greatest risk of fetal abnormalities related to warfarin use occurs during</w:t>
      </w:r>
    </w:p>
    <w:p w:rsidR="00663122" w:rsidRPr="00E316FA" w:rsidRDefault="00663122">
      <w:r w:rsidRPr="00E316FA">
        <w:t>A</w:t>
      </w:r>
      <w:r w:rsidRPr="00E316FA">
        <w:tab/>
        <w:t>The first trimester</w:t>
      </w:r>
    </w:p>
    <w:p w:rsidR="00663122" w:rsidRPr="00E316FA" w:rsidRDefault="00663122">
      <w:r w:rsidRPr="00E316FA">
        <w:t>B</w:t>
      </w:r>
      <w:r w:rsidRPr="00E316FA">
        <w:tab/>
        <w:t>The second trimester</w:t>
      </w:r>
    </w:p>
    <w:p w:rsidR="00663122" w:rsidRPr="00E316FA" w:rsidRDefault="00663122">
      <w:r w:rsidRPr="00E316FA">
        <w:t>C</w:t>
      </w:r>
      <w:r w:rsidRPr="00E316FA">
        <w:tab/>
        <w:t>The third trimester</w:t>
      </w:r>
    </w:p>
    <w:p w:rsidR="00663122" w:rsidRPr="00E316FA" w:rsidRDefault="00663122">
      <w:r w:rsidRPr="00E316FA">
        <w:t>D</w:t>
      </w:r>
      <w:r w:rsidRPr="00E316FA">
        <w:tab/>
        <w:t>stable throughout pregnancy</w:t>
      </w:r>
    </w:p>
    <w:p w:rsidR="00F22086" w:rsidRPr="00E316FA" w:rsidRDefault="00F22086"/>
    <w:p w:rsidR="00F22086" w:rsidRPr="00E316FA" w:rsidRDefault="008F04AC" w:rsidP="00F22086">
      <w:r w:rsidRPr="00E316FA">
        <w:t xml:space="preserve">3.  </w:t>
      </w:r>
      <w:r w:rsidR="00F22086" w:rsidRPr="00E316FA">
        <w:t>The optimal duration of follow-up for patients receiving warfarin is:</w:t>
      </w:r>
    </w:p>
    <w:p w:rsidR="00F22086" w:rsidRPr="00E316FA" w:rsidRDefault="00F22086" w:rsidP="00F22086">
      <w:r w:rsidRPr="00E316FA">
        <w:t>A</w:t>
      </w:r>
      <w:r w:rsidRPr="00E316FA">
        <w:tab/>
        <w:t>Weekly</w:t>
      </w:r>
    </w:p>
    <w:p w:rsidR="00F22086" w:rsidRPr="00E316FA" w:rsidRDefault="00F22086" w:rsidP="00F22086">
      <w:r w:rsidRPr="00E316FA">
        <w:t>B</w:t>
      </w:r>
      <w:r w:rsidRPr="00E316FA">
        <w:tab/>
        <w:t>Monthly</w:t>
      </w:r>
    </w:p>
    <w:p w:rsidR="00F22086" w:rsidRPr="00E316FA" w:rsidRDefault="00F22086" w:rsidP="00F22086">
      <w:r w:rsidRPr="00E316FA">
        <w:t>C</w:t>
      </w:r>
      <w:r w:rsidRPr="00E316FA">
        <w:tab/>
        <w:t>Every 12 weeks</w:t>
      </w:r>
    </w:p>
    <w:p w:rsidR="00F22086" w:rsidRPr="00E316FA" w:rsidRDefault="00F22086" w:rsidP="00F22086">
      <w:r w:rsidRPr="00E316FA">
        <w:t>D</w:t>
      </w:r>
      <w:r w:rsidRPr="00E316FA">
        <w:tab/>
        <w:t>Not clearly defined in the literature</w:t>
      </w:r>
    </w:p>
    <w:p w:rsidR="00663122" w:rsidRPr="00E316FA" w:rsidRDefault="00663122"/>
    <w:p w:rsidR="00663122" w:rsidRPr="00E316FA" w:rsidRDefault="008F04AC">
      <w:r w:rsidRPr="00E316FA">
        <w:t xml:space="preserve">4.  </w:t>
      </w:r>
      <w:r w:rsidR="00663122" w:rsidRPr="00E316FA">
        <w:t>When using enoxaparin during pregnancy for the prevention of VTE in patients who have been receiving long term warfarin therapy:</w:t>
      </w:r>
    </w:p>
    <w:p w:rsidR="00663122" w:rsidRPr="00E316FA" w:rsidRDefault="00663122">
      <w:r w:rsidRPr="00E316FA">
        <w:t>A</w:t>
      </w:r>
      <w:r w:rsidRPr="00E316FA">
        <w:tab/>
        <w:t>Use near therapeutic treatment level doses adjusted for body weight</w:t>
      </w:r>
    </w:p>
    <w:p w:rsidR="00663122" w:rsidRPr="00E316FA" w:rsidRDefault="00663122">
      <w:r w:rsidRPr="00E316FA">
        <w:t>B</w:t>
      </w:r>
      <w:r w:rsidRPr="00E316FA">
        <w:tab/>
        <w:t>Use standard prophylactic doses</w:t>
      </w:r>
    </w:p>
    <w:p w:rsidR="00663122" w:rsidRPr="00E316FA" w:rsidRDefault="00663122"/>
    <w:p w:rsidR="00663122" w:rsidRPr="00E316FA" w:rsidRDefault="008F04AC">
      <w:r w:rsidRPr="00E316FA">
        <w:t xml:space="preserve">5.  </w:t>
      </w:r>
      <w:r w:rsidR="00663122" w:rsidRPr="00E316FA">
        <w:t>Antiphospholipid antibody syndrome:</w:t>
      </w:r>
    </w:p>
    <w:p w:rsidR="00663122" w:rsidRPr="00E316FA" w:rsidRDefault="00663122">
      <w:r w:rsidRPr="00E316FA">
        <w:t>A</w:t>
      </w:r>
      <w:r w:rsidRPr="00E316FA">
        <w:tab/>
      </w:r>
      <w:r w:rsidR="005432DB" w:rsidRPr="00E316FA">
        <w:t>Decreases the levels of Factor II and X</w:t>
      </w:r>
    </w:p>
    <w:p w:rsidR="00663122" w:rsidRPr="00E316FA" w:rsidRDefault="00663122">
      <w:r w:rsidRPr="00E316FA">
        <w:t>B</w:t>
      </w:r>
      <w:r w:rsidRPr="00E316FA">
        <w:tab/>
        <w:t>is associated with an Increase in the risk of hemorrhagic complications</w:t>
      </w:r>
    </w:p>
    <w:p w:rsidR="00663122" w:rsidRPr="00E316FA" w:rsidRDefault="00663122">
      <w:r w:rsidRPr="00E316FA">
        <w:t>C</w:t>
      </w:r>
      <w:r w:rsidRPr="00E316FA">
        <w:tab/>
        <w:t>is a viral disease</w:t>
      </w:r>
    </w:p>
    <w:p w:rsidR="00663122" w:rsidRPr="00E316FA" w:rsidRDefault="00663122">
      <w:r w:rsidRPr="00E316FA">
        <w:t>D</w:t>
      </w:r>
      <w:r w:rsidRPr="00E316FA">
        <w:tab/>
        <w:t>May interfere with the INR measurement of patients receiving warfarin</w:t>
      </w:r>
    </w:p>
    <w:p w:rsidR="00663122" w:rsidRPr="00E316FA" w:rsidRDefault="00663122"/>
    <w:p w:rsidR="00663122" w:rsidRPr="00E316FA" w:rsidRDefault="008F04AC">
      <w:r w:rsidRPr="00E316FA">
        <w:t xml:space="preserve">6.  </w:t>
      </w:r>
      <w:r w:rsidR="005432DB" w:rsidRPr="00E316FA">
        <w:t xml:space="preserve">Alcohol </w:t>
      </w:r>
    </w:p>
    <w:p w:rsidR="005432DB" w:rsidRPr="00E316FA" w:rsidRDefault="005432DB">
      <w:r w:rsidRPr="00E316FA">
        <w:t>A</w:t>
      </w:r>
      <w:r w:rsidRPr="00E316FA">
        <w:tab/>
        <w:t>Should be avoided at any level in all patients receiving warfarin</w:t>
      </w:r>
    </w:p>
    <w:p w:rsidR="005432DB" w:rsidRPr="00E316FA" w:rsidRDefault="005432DB">
      <w:r w:rsidRPr="00E316FA">
        <w:t>B</w:t>
      </w:r>
      <w:r w:rsidRPr="00E316FA">
        <w:tab/>
        <w:t>Can be managed similar to other drug interactions</w:t>
      </w:r>
    </w:p>
    <w:p w:rsidR="005432DB" w:rsidRPr="00E316FA" w:rsidRDefault="005432DB">
      <w:r w:rsidRPr="00E316FA">
        <w:t>C</w:t>
      </w:r>
      <w:r w:rsidRPr="00E316FA">
        <w:tab/>
        <w:t>Multiple studies on the interaction between binge drinking and warfarin have been published</w:t>
      </w:r>
    </w:p>
    <w:p w:rsidR="005432DB" w:rsidRPr="00E316FA" w:rsidRDefault="005432DB">
      <w:r w:rsidRPr="00E316FA">
        <w:t>D</w:t>
      </w:r>
      <w:r w:rsidRPr="00E316FA">
        <w:tab/>
        <w:t xml:space="preserve">Alcoholism is a FDA labeled contraindication to the use of warfarin </w:t>
      </w:r>
    </w:p>
    <w:p w:rsidR="005432DB" w:rsidRPr="00E316FA" w:rsidRDefault="005432DB"/>
    <w:p w:rsidR="005432DB" w:rsidRPr="00E316FA" w:rsidRDefault="008F04AC">
      <w:r w:rsidRPr="00E316FA">
        <w:t xml:space="preserve">7.  </w:t>
      </w:r>
      <w:r w:rsidR="005432DB" w:rsidRPr="00E316FA">
        <w:t>The risk of thrombosis in pregnant women with mechanical heart valves is</w:t>
      </w:r>
    </w:p>
    <w:p w:rsidR="005432DB" w:rsidRPr="00E316FA" w:rsidRDefault="005432DB">
      <w:r w:rsidRPr="00E316FA">
        <w:t>A</w:t>
      </w:r>
      <w:r w:rsidRPr="00E316FA">
        <w:tab/>
        <w:t>Lowest in patients being treated with warfarin</w:t>
      </w:r>
    </w:p>
    <w:p w:rsidR="005432DB" w:rsidRPr="00E316FA" w:rsidRDefault="005432DB">
      <w:r w:rsidRPr="00E316FA">
        <w:t>B</w:t>
      </w:r>
      <w:r w:rsidRPr="00E316FA">
        <w:tab/>
        <w:t>Lowest in patients being treated with a LMWH</w:t>
      </w:r>
    </w:p>
    <w:p w:rsidR="005432DB" w:rsidRPr="00E316FA" w:rsidRDefault="005432DB"/>
    <w:p w:rsidR="00184E37" w:rsidRPr="00E316FA" w:rsidRDefault="008F04AC">
      <w:r w:rsidRPr="00E316FA">
        <w:t xml:space="preserve">8.  </w:t>
      </w:r>
      <w:r w:rsidR="005432DB" w:rsidRPr="00E316FA">
        <w:t xml:space="preserve">No major </w:t>
      </w:r>
      <w:r w:rsidR="00184E37" w:rsidRPr="00E316FA">
        <w:t>group of international experts have supported the notion testing the INR in a patient receiving warfarin as little as once every 3 months</w:t>
      </w:r>
    </w:p>
    <w:p w:rsidR="00184E37" w:rsidRPr="00E316FA" w:rsidRDefault="00184E37">
      <w:r w:rsidRPr="00E316FA">
        <w:t>A</w:t>
      </w:r>
      <w:r w:rsidRPr="00E316FA">
        <w:tab/>
        <w:t>True</w:t>
      </w:r>
    </w:p>
    <w:p w:rsidR="005432DB" w:rsidRPr="00E316FA" w:rsidRDefault="00184E37">
      <w:r w:rsidRPr="00E316FA">
        <w:t>B</w:t>
      </w:r>
      <w:r w:rsidRPr="00E316FA">
        <w:tab/>
        <w:t>False</w:t>
      </w:r>
      <w:r w:rsidR="005432DB" w:rsidRPr="00E316FA">
        <w:t xml:space="preserve"> </w:t>
      </w:r>
    </w:p>
    <w:p w:rsidR="00184E37" w:rsidRPr="00E316FA" w:rsidRDefault="00184E37"/>
    <w:p w:rsidR="00184E37" w:rsidRPr="00E316FA" w:rsidRDefault="008F04AC">
      <w:r w:rsidRPr="00E316FA">
        <w:t xml:space="preserve">9.  </w:t>
      </w:r>
      <w:r w:rsidR="00184E37" w:rsidRPr="00E316FA">
        <w:t>A clinically appropriate way to monitor a patient receiving warfarin with antiphospholipid antibody syndrome is:</w:t>
      </w:r>
    </w:p>
    <w:p w:rsidR="00184E37" w:rsidRPr="00E316FA" w:rsidRDefault="00184E37">
      <w:r w:rsidRPr="00E316FA">
        <w:t>A</w:t>
      </w:r>
      <w:r w:rsidRPr="00E316FA">
        <w:tab/>
        <w:t>Factor II activity level</w:t>
      </w:r>
    </w:p>
    <w:p w:rsidR="00184E37" w:rsidRPr="00E316FA" w:rsidRDefault="00184E37">
      <w:r w:rsidRPr="00E316FA">
        <w:t>B</w:t>
      </w:r>
      <w:r w:rsidRPr="00E316FA">
        <w:tab/>
        <w:t>Factor X activity level</w:t>
      </w:r>
    </w:p>
    <w:p w:rsidR="00184E37" w:rsidRPr="00E316FA" w:rsidRDefault="00184E37">
      <w:r w:rsidRPr="00E316FA">
        <w:lastRenderedPageBreak/>
        <w:t>C</w:t>
      </w:r>
      <w:r w:rsidRPr="00E316FA">
        <w:tab/>
        <w:t>Activated Clotting Time (ACT)</w:t>
      </w:r>
    </w:p>
    <w:p w:rsidR="00184E37" w:rsidRPr="00E316FA" w:rsidRDefault="00184E37">
      <w:r w:rsidRPr="00E316FA">
        <w:t>D</w:t>
      </w:r>
      <w:r w:rsidRPr="00E316FA">
        <w:tab/>
        <w:t>Both A and B</w:t>
      </w:r>
    </w:p>
    <w:p w:rsidR="00ED663E" w:rsidRPr="00E316FA" w:rsidRDefault="00ED663E"/>
    <w:p w:rsidR="00ED663E" w:rsidRPr="00E316FA" w:rsidRDefault="008F04AC">
      <w:r w:rsidRPr="00E316FA">
        <w:t xml:space="preserve">10. </w:t>
      </w:r>
      <w:r w:rsidR="00ED663E" w:rsidRPr="00E316FA">
        <w:t xml:space="preserve">Binge drinking of alcohol in an anti-coagulated patient increase the risk of </w:t>
      </w:r>
    </w:p>
    <w:p w:rsidR="00ED663E" w:rsidRPr="00E316FA" w:rsidRDefault="00ED663E">
      <w:r w:rsidRPr="00E316FA">
        <w:t>A</w:t>
      </w:r>
      <w:r w:rsidRPr="00E316FA">
        <w:tab/>
      </w:r>
      <w:proofErr w:type="gramStart"/>
      <w:r w:rsidRPr="00E316FA">
        <w:t>Falls</w:t>
      </w:r>
      <w:proofErr w:type="gramEnd"/>
    </w:p>
    <w:p w:rsidR="00ED663E" w:rsidRPr="00E316FA" w:rsidRDefault="00ED663E">
      <w:r w:rsidRPr="00E316FA">
        <w:t>B</w:t>
      </w:r>
      <w:r w:rsidRPr="00E316FA">
        <w:tab/>
        <w:t>Gastrointestinal bleeding</w:t>
      </w:r>
    </w:p>
    <w:p w:rsidR="00ED663E" w:rsidRPr="00E316FA" w:rsidRDefault="00ED663E">
      <w:r w:rsidRPr="00E316FA">
        <w:t>C</w:t>
      </w:r>
      <w:r w:rsidRPr="00E316FA">
        <w:tab/>
        <w:t>Non-compliance</w:t>
      </w:r>
    </w:p>
    <w:p w:rsidR="00ED663E" w:rsidRPr="00E316FA" w:rsidRDefault="00ED663E">
      <w:r w:rsidRPr="00E316FA">
        <w:t>D</w:t>
      </w:r>
      <w:r w:rsidRPr="00E316FA">
        <w:tab/>
        <w:t>All of the above</w:t>
      </w:r>
    </w:p>
    <w:p w:rsidR="00ED663E" w:rsidRPr="00E316FA" w:rsidRDefault="00ED663E"/>
    <w:p w:rsidR="00F22086" w:rsidRPr="00E316FA" w:rsidRDefault="00F22086"/>
    <w:sectPr w:rsidR="00F22086" w:rsidRPr="00E316FA" w:rsidSect="007B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2"/>
    <w:rsid w:val="00184E37"/>
    <w:rsid w:val="0019373E"/>
    <w:rsid w:val="002D00C6"/>
    <w:rsid w:val="0034224B"/>
    <w:rsid w:val="003E003F"/>
    <w:rsid w:val="00502794"/>
    <w:rsid w:val="005432DB"/>
    <w:rsid w:val="00663122"/>
    <w:rsid w:val="007B3E8B"/>
    <w:rsid w:val="008B59D9"/>
    <w:rsid w:val="008F04AC"/>
    <w:rsid w:val="00942DB3"/>
    <w:rsid w:val="009A7E8B"/>
    <w:rsid w:val="00A16B4C"/>
    <w:rsid w:val="00CD7A90"/>
    <w:rsid w:val="00E316FA"/>
    <w:rsid w:val="00ED663E"/>
    <w:rsid w:val="00F22086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8217F-94B5-4718-8AB1-136E68C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cp:lastModifiedBy>Bylyku, Jessica (Pharmacy Student Worker)</cp:lastModifiedBy>
  <cp:revision>2</cp:revision>
  <dcterms:created xsi:type="dcterms:W3CDTF">2020-02-24T16:59:00Z</dcterms:created>
  <dcterms:modified xsi:type="dcterms:W3CDTF">2020-02-24T16:59:00Z</dcterms:modified>
</cp:coreProperties>
</file>