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DFFDB" w14:textId="77777777" w:rsidR="0071274A" w:rsidRDefault="0071274A" w:rsidP="000D7C3F">
      <w:pPr>
        <w:jc w:val="both"/>
        <w:rPr>
          <w:rFonts w:cstheme="minorHAnsi"/>
        </w:rPr>
      </w:pPr>
      <w:r>
        <w:rPr>
          <w:rFonts w:cstheme="minorHAnsi"/>
        </w:rPr>
        <w:t>Pharmacist Post-test</w:t>
      </w:r>
    </w:p>
    <w:p w14:paraId="063D51C6" w14:textId="77777777" w:rsidR="0071274A" w:rsidRDefault="0071274A" w:rsidP="000D7C3F">
      <w:pPr>
        <w:jc w:val="both"/>
        <w:rPr>
          <w:rFonts w:cstheme="minorHAnsi"/>
        </w:rPr>
      </w:pPr>
    </w:p>
    <w:p w14:paraId="7976CAE7" w14:textId="77777777" w:rsidR="000D7C3F" w:rsidRPr="005669AC" w:rsidRDefault="000D7C3F" w:rsidP="000D7C3F">
      <w:pPr>
        <w:jc w:val="both"/>
        <w:rPr>
          <w:rFonts w:cstheme="minorHAnsi"/>
        </w:rPr>
      </w:pPr>
      <w:r w:rsidRPr="005669AC">
        <w:rPr>
          <w:rFonts w:cstheme="minorHAnsi"/>
        </w:rPr>
        <w:t>Pharmacist Learning Objectives:</w:t>
      </w:r>
    </w:p>
    <w:p w14:paraId="5D53060A" w14:textId="77777777" w:rsidR="00843182" w:rsidRPr="007224A5" w:rsidRDefault="002C7923" w:rsidP="00843182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224A5">
        <w:rPr>
          <w:rFonts w:ascii="Times New Roman" w:hAnsi="Times New Roman" w:cs="Times New Roman"/>
          <w:color w:val="000000" w:themeColor="text1"/>
        </w:rPr>
        <w:t>Describe vaccine hesitancy</w:t>
      </w:r>
      <w:r w:rsidR="00843182" w:rsidRPr="00843182">
        <w:rPr>
          <w:rFonts w:ascii="Times New Roman" w:hAnsi="Times New Roman" w:cs="Times New Roman"/>
          <w:color w:val="000000" w:themeColor="text1"/>
        </w:rPr>
        <w:t xml:space="preserve"> </w:t>
      </w:r>
      <w:r w:rsidR="00843182">
        <w:rPr>
          <w:rFonts w:ascii="Times New Roman" w:hAnsi="Times New Roman" w:cs="Times New Roman"/>
          <w:color w:val="000000" w:themeColor="text1"/>
        </w:rPr>
        <w:t xml:space="preserve">and </w:t>
      </w:r>
      <w:r w:rsidR="00843182" w:rsidRPr="007224A5">
        <w:rPr>
          <w:rFonts w:ascii="Times New Roman" w:hAnsi="Times New Roman" w:cs="Times New Roman"/>
          <w:color w:val="000000" w:themeColor="text1"/>
        </w:rPr>
        <w:t>barriers to vaccination</w:t>
      </w:r>
    </w:p>
    <w:p w14:paraId="551B8CDE" w14:textId="77777777" w:rsidR="002C7923" w:rsidRPr="007224A5" w:rsidRDefault="002C7923" w:rsidP="002C792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224A5">
        <w:rPr>
          <w:rFonts w:ascii="Times New Roman" w:hAnsi="Times New Roman" w:cs="Times New Roman"/>
          <w:color w:val="000000" w:themeColor="text1"/>
        </w:rPr>
        <w:t>Recognize the how determinants of vaccine hesitancy contribute to behavioral outcomes</w:t>
      </w:r>
    </w:p>
    <w:p w14:paraId="1CF7F552" w14:textId="77777777" w:rsidR="002C7923" w:rsidRPr="007224A5" w:rsidRDefault="002C7923" w:rsidP="002C792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224A5">
        <w:rPr>
          <w:rFonts w:ascii="Times New Roman" w:hAnsi="Times New Roman" w:cs="Times New Roman"/>
          <w:color w:val="000000" w:themeColor="text1"/>
        </w:rPr>
        <w:t xml:space="preserve">Recall anti-vaccine claims and rebuttals </w:t>
      </w:r>
    </w:p>
    <w:p w14:paraId="6F8B0801" w14:textId="77777777" w:rsidR="002C7923" w:rsidRPr="007224A5" w:rsidRDefault="002C7923" w:rsidP="002C792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224A5">
        <w:rPr>
          <w:rFonts w:ascii="Times New Roman" w:hAnsi="Times New Roman" w:cs="Times New Roman"/>
          <w:color w:val="000000" w:themeColor="text1"/>
        </w:rPr>
        <w:t>Discuss situation-appropriate intervention strategies</w:t>
      </w:r>
    </w:p>
    <w:p w14:paraId="43BEF790" w14:textId="77777777" w:rsidR="000D7C3F" w:rsidRDefault="000D7C3F" w:rsidP="000D7C3F"/>
    <w:p w14:paraId="102C2A0E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1. </w:t>
      </w:r>
      <w:r w:rsidR="002C7923">
        <w:rPr>
          <w:b/>
        </w:rPr>
        <w:t>Which of the following MOST CLOSELY corresponds to the WHO definition of vaccine hesitancy?</w:t>
      </w:r>
    </w:p>
    <w:p w14:paraId="09560D4B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2C7923">
        <w:rPr>
          <w:rFonts w:cstheme="minorHAnsi"/>
        </w:rPr>
        <w:t xml:space="preserve"> Simple </w:t>
      </w:r>
      <w:r w:rsidR="002C7923" w:rsidRPr="007224A5">
        <w:rPr>
          <w:color w:val="000000" w:themeColor="text1"/>
        </w:rPr>
        <w:t>vaccine</w:t>
      </w:r>
      <w:r w:rsidR="002C7923">
        <w:rPr>
          <w:color w:val="000000" w:themeColor="text1"/>
        </w:rPr>
        <w:t xml:space="preserve"> </w:t>
      </w:r>
      <w:r w:rsidR="002C7923" w:rsidRPr="007224A5">
        <w:rPr>
          <w:color w:val="000000" w:themeColor="text1"/>
        </w:rPr>
        <w:t xml:space="preserve">refusal </w:t>
      </w:r>
      <w:r w:rsidR="002C7923">
        <w:rPr>
          <w:color w:val="000000" w:themeColor="text1"/>
        </w:rPr>
        <w:t>in any context</w:t>
      </w:r>
      <w:r w:rsidR="002C7923" w:rsidRPr="007224A5">
        <w:rPr>
          <w:color w:val="000000" w:themeColor="text1"/>
        </w:rPr>
        <w:t xml:space="preserve"> </w:t>
      </w:r>
      <w:r w:rsidR="002C7923">
        <w:rPr>
          <w:color w:val="000000" w:themeColor="text1"/>
        </w:rPr>
        <w:t>including lack of available vaccination</w:t>
      </w:r>
      <w:r w:rsidR="002C7923" w:rsidRPr="007224A5">
        <w:rPr>
          <w:color w:val="000000" w:themeColor="text1"/>
        </w:rPr>
        <w:t xml:space="preserve"> services</w:t>
      </w:r>
      <w:r w:rsidR="002C7923">
        <w:rPr>
          <w:color w:val="000000" w:themeColor="text1"/>
        </w:rPr>
        <w:t xml:space="preserve"> </w:t>
      </w:r>
      <w:r w:rsidR="002C7923">
        <w:rPr>
          <w:rFonts w:cstheme="minorHAnsi"/>
        </w:rPr>
        <w:t xml:space="preserve"> </w:t>
      </w:r>
    </w:p>
    <w:p w14:paraId="45489E2F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2C7923">
        <w:rPr>
          <w:rFonts w:cstheme="minorHAnsi"/>
        </w:rPr>
        <w:t xml:space="preserve"> Acceptance of any vaccine if the ability to access vaccination is convenient </w:t>
      </w:r>
    </w:p>
    <w:p w14:paraId="0DE943CC" w14:textId="52ABDCF1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2C7923">
        <w:rPr>
          <w:rFonts w:cstheme="minorHAnsi"/>
        </w:rPr>
        <w:t xml:space="preserve"> </w:t>
      </w:r>
      <w:r w:rsidR="002C7923">
        <w:rPr>
          <w:color w:val="000000" w:themeColor="text1"/>
        </w:rPr>
        <w:t>D</w:t>
      </w:r>
      <w:r w:rsidR="002C7923" w:rsidRPr="007224A5">
        <w:rPr>
          <w:color w:val="000000" w:themeColor="text1"/>
        </w:rPr>
        <w:t>elay in acceptance or refusal of vaccines despite availability of vaccinations services</w:t>
      </w:r>
    </w:p>
    <w:p w14:paraId="48DAB0F7" w14:textId="77777777" w:rsidR="000D7C3F" w:rsidRDefault="000D7C3F" w:rsidP="000D7C3F"/>
    <w:p w14:paraId="257EB1AF" w14:textId="77777777" w:rsidR="000D7C3F" w:rsidRDefault="000D7C3F" w:rsidP="000D7C3F">
      <w:pPr>
        <w:rPr>
          <w:highlight w:val="green"/>
        </w:rPr>
      </w:pPr>
    </w:p>
    <w:p w14:paraId="08735387" w14:textId="77777777" w:rsidR="000D7C3F" w:rsidRPr="000D7C3F" w:rsidRDefault="000D7C3F" w:rsidP="000D7C3F">
      <w:pPr>
        <w:rPr>
          <w:b/>
        </w:rPr>
      </w:pPr>
      <w:r w:rsidRPr="000D7C3F">
        <w:rPr>
          <w:b/>
        </w:rPr>
        <w:t xml:space="preserve">2. </w:t>
      </w:r>
      <w:r w:rsidR="002C7923">
        <w:rPr>
          <w:b/>
        </w:rPr>
        <w:t>Select the influence category, source of influence, and determinants that are paired correctly.</w:t>
      </w:r>
    </w:p>
    <w:p w14:paraId="4B582A6C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2C7923">
        <w:rPr>
          <w:rFonts w:cstheme="minorHAnsi"/>
        </w:rPr>
        <w:t xml:space="preserve"> Contextual influence—peer environment--costs</w:t>
      </w:r>
    </w:p>
    <w:p w14:paraId="10605CE9" w14:textId="2F4A20BC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2C7923">
        <w:rPr>
          <w:rFonts w:cstheme="minorHAnsi"/>
        </w:rPr>
        <w:t xml:space="preserve"> Vaccine</w:t>
      </w:r>
      <w:r w:rsidR="00843182">
        <w:rPr>
          <w:rFonts w:cstheme="minorHAnsi"/>
        </w:rPr>
        <w:t>-</w:t>
      </w:r>
      <w:r w:rsidR="002C7923">
        <w:rPr>
          <w:rFonts w:cstheme="minorHAnsi"/>
        </w:rPr>
        <w:t>specific issues—specific vaccine—mode of administration</w:t>
      </w:r>
    </w:p>
    <w:p w14:paraId="5BD90ACB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2C7923">
        <w:rPr>
          <w:rFonts w:cstheme="minorHAnsi"/>
        </w:rPr>
        <w:t xml:space="preserve"> Group influences—political factors—reliability of vaccine supply</w:t>
      </w:r>
    </w:p>
    <w:p w14:paraId="307FF7C5" w14:textId="77777777" w:rsidR="000D7C3F" w:rsidRPr="00AD3486" w:rsidRDefault="000D7C3F" w:rsidP="000D7C3F">
      <w:pPr>
        <w:rPr>
          <w:rFonts w:cstheme="minorHAnsi"/>
        </w:rPr>
      </w:pPr>
    </w:p>
    <w:p w14:paraId="669F9D53" w14:textId="77777777" w:rsidR="000D7C3F" w:rsidRDefault="000D7C3F" w:rsidP="000D7C3F"/>
    <w:p w14:paraId="146371DD" w14:textId="77777777" w:rsidR="0071274A" w:rsidRDefault="000D7C3F" w:rsidP="000D7C3F">
      <w:pPr>
        <w:rPr>
          <w:b/>
        </w:rPr>
      </w:pPr>
      <w:r w:rsidRPr="000D7C3F">
        <w:rPr>
          <w:b/>
        </w:rPr>
        <w:t xml:space="preserve">3. </w:t>
      </w:r>
      <w:r w:rsidR="002C7923">
        <w:rPr>
          <w:b/>
        </w:rPr>
        <w:t>A mother indicates she does not and will not vaccinate her children. You use motivational interviewing and learn that she believe</w:t>
      </w:r>
      <w:r w:rsidR="00843182">
        <w:rPr>
          <w:b/>
        </w:rPr>
        <w:t>s</w:t>
      </w:r>
      <w:r w:rsidR="002C7923">
        <w:rPr>
          <w:b/>
        </w:rPr>
        <w:t xml:space="preserve"> natural immunity is safer than vaccine-induced immunity. What is an appropriate rebuttal if she consents to listen?</w:t>
      </w:r>
    </w:p>
    <w:p w14:paraId="4613F6AA" w14:textId="49D690C8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2C7923">
        <w:rPr>
          <w:rFonts w:cstheme="minorHAnsi"/>
        </w:rPr>
        <w:t xml:space="preserve"> </w:t>
      </w:r>
      <w:r w:rsidR="002C7923" w:rsidRPr="007224A5">
        <w:rPr>
          <w:color w:val="000000" w:themeColor="text1"/>
          <w:shd w:val="clear" w:color="auto" w:fill="FFFFFF"/>
        </w:rPr>
        <w:t>Infection-induced immunity may elicit a superior immune response. However, the risks and complications associated with infection are significantly greater than those of vaccines</w:t>
      </w:r>
      <w:r w:rsidR="002C7923">
        <w:rPr>
          <w:color w:val="000000" w:themeColor="text1"/>
          <w:shd w:val="clear" w:color="auto" w:fill="FFFFFF"/>
        </w:rPr>
        <w:t>.</w:t>
      </w:r>
    </w:p>
    <w:p w14:paraId="06EAA743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2C7923" w:rsidRPr="007224A5">
        <w:rPr>
          <w:color w:val="000000" w:themeColor="text1"/>
          <w:shd w:val="clear" w:color="auto" w:fill="FFFFFF"/>
        </w:rPr>
        <w:t xml:space="preserve"> A panel of experts from the Institute of Medicine reviewed more than 12,000 published reports and several high-quality studies; none </w:t>
      </w:r>
      <w:r w:rsidR="002C7923">
        <w:rPr>
          <w:color w:val="000000" w:themeColor="text1"/>
          <w:shd w:val="clear" w:color="auto" w:fill="FFFFFF"/>
        </w:rPr>
        <w:t>indicate natural immunity is stronger.</w:t>
      </w:r>
    </w:p>
    <w:p w14:paraId="731F5E19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2C7923">
        <w:rPr>
          <w:rFonts w:cstheme="minorHAnsi"/>
        </w:rPr>
        <w:t xml:space="preserve"> The CDC’s system to track natural immunity vs. vaccine-induced immunity is called </w:t>
      </w:r>
      <w:r w:rsidR="002C7923" w:rsidRPr="007224A5">
        <w:rPr>
          <w:color w:val="000000" w:themeColor="text1"/>
          <w:shd w:val="clear" w:color="auto" w:fill="FFFFFF"/>
        </w:rPr>
        <w:t xml:space="preserve">VAERS; </w:t>
      </w:r>
      <w:r w:rsidR="00843182">
        <w:rPr>
          <w:color w:val="000000" w:themeColor="text1"/>
          <w:shd w:val="clear" w:color="auto" w:fill="FFFFFF"/>
        </w:rPr>
        <w:t>y</w:t>
      </w:r>
      <w:r w:rsidR="002C7923">
        <w:rPr>
          <w:color w:val="000000" w:themeColor="text1"/>
          <w:shd w:val="clear" w:color="auto" w:fill="FFFFFF"/>
        </w:rPr>
        <w:t xml:space="preserve">ou can examine the data in VAERS and see that your assumptions are wrong. </w:t>
      </w:r>
    </w:p>
    <w:p w14:paraId="1569DE18" w14:textId="77777777" w:rsidR="000D7C3F" w:rsidRDefault="000D7C3F" w:rsidP="000D7C3F"/>
    <w:p w14:paraId="15331474" w14:textId="77777777" w:rsidR="000D7C3F" w:rsidRDefault="000D7C3F" w:rsidP="000D7C3F"/>
    <w:p w14:paraId="63A46B26" w14:textId="77777777" w:rsidR="0071274A" w:rsidRDefault="000D7C3F" w:rsidP="000D7C3F">
      <w:pPr>
        <w:rPr>
          <w:b/>
        </w:rPr>
      </w:pPr>
      <w:r w:rsidRPr="000D7C3F">
        <w:rPr>
          <w:b/>
        </w:rPr>
        <w:t xml:space="preserve">4. </w:t>
      </w:r>
      <w:r w:rsidR="002C7923">
        <w:rPr>
          <w:b/>
        </w:rPr>
        <w:t>Susan comes to the pharmacy and your technician reminds her she is due for her second HPV vaccination. Susan glances to the pharmacist’s workstation and quickly says, “</w:t>
      </w:r>
      <w:proofErr w:type="spellStart"/>
      <w:r w:rsidR="002C7923">
        <w:rPr>
          <w:b/>
        </w:rPr>
        <w:t>Ummm</w:t>
      </w:r>
      <w:proofErr w:type="spellEnd"/>
      <w:r w:rsidR="002C7923">
        <w:rPr>
          <w:b/>
        </w:rPr>
        <w:t xml:space="preserve">, not today.” The technician gently says, </w:t>
      </w:r>
      <w:r w:rsidR="00843182">
        <w:rPr>
          <w:b/>
        </w:rPr>
        <w:t>“</w:t>
      </w:r>
      <w:r w:rsidR="002C7923">
        <w:rPr>
          <w:b/>
        </w:rPr>
        <w:t>You’re here, and we’re not busy. Why don’t we get it done?” Susan replies, “No, not today. That guy gave me the last one and left a huge bruise. Not today.”  What type of barrier is keeping Susan from her second shot?</w:t>
      </w:r>
      <w:r w:rsidR="0071274A" w:rsidRPr="000D7C3F">
        <w:rPr>
          <w:b/>
        </w:rPr>
        <w:t xml:space="preserve"> </w:t>
      </w:r>
    </w:p>
    <w:p w14:paraId="35AF75CF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2C7923">
        <w:rPr>
          <w:rFonts w:cstheme="minorHAnsi"/>
        </w:rPr>
        <w:t xml:space="preserve"> Vaccine accessibility</w:t>
      </w:r>
    </w:p>
    <w:p w14:paraId="27475A58" w14:textId="477D233F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2C7923">
        <w:rPr>
          <w:rFonts w:cstheme="minorHAnsi"/>
        </w:rPr>
        <w:t xml:space="preserve"> Distrust of provider</w:t>
      </w:r>
    </w:p>
    <w:p w14:paraId="7761BB21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2C7923">
        <w:rPr>
          <w:rFonts w:cstheme="minorHAnsi"/>
        </w:rPr>
        <w:t xml:space="preserve"> Gaps in knowledge</w:t>
      </w:r>
    </w:p>
    <w:p w14:paraId="7B54E708" w14:textId="77777777" w:rsidR="000D7C3F" w:rsidRDefault="000D7C3F" w:rsidP="000D7C3F"/>
    <w:p w14:paraId="65B0A322" w14:textId="26BDF284" w:rsidR="000D7C3F" w:rsidRPr="001B1F78" w:rsidRDefault="000D7C3F" w:rsidP="000D7C3F">
      <w:pPr>
        <w:rPr>
          <w:b/>
          <w:lang w:val="es-AR"/>
        </w:rPr>
      </w:pPr>
    </w:p>
    <w:p w14:paraId="446F4E94" w14:textId="76DAC5A5" w:rsidR="0071274A" w:rsidRDefault="000D7C3F" w:rsidP="0071274A">
      <w:pPr>
        <w:rPr>
          <w:b/>
        </w:rPr>
      </w:pPr>
      <w:r w:rsidRPr="005002F3">
        <w:rPr>
          <w:b/>
        </w:rPr>
        <w:lastRenderedPageBreak/>
        <w:t xml:space="preserve">5. </w:t>
      </w:r>
      <w:r w:rsidR="007F20B4">
        <w:rPr>
          <w:b/>
        </w:rPr>
        <w:t xml:space="preserve">Dave arrives at the pharmacy to pick up his “sugar meds” and you notice that he hasn’t </w:t>
      </w:r>
      <w:r w:rsidR="00843182">
        <w:rPr>
          <w:b/>
        </w:rPr>
        <w:t>rec</w:t>
      </w:r>
      <w:r w:rsidR="000B55C9">
        <w:rPr>
          <w:b/>
        </w:rPr>
        <w:t>ei</w:t>
      </w:r>
      <w:r w:rsidR="00843182">
        <w:rPr>
          <w:b/>
        </w:rPr>
        <w:t>ved</w:t>
      </w:r>
      <w:r w:rsidR="007F20B4">
        <w:rPr>
          <w:b/>
        </w:rPr>
        <w:t xml:space="preserve"> his flu shot yet. After providing him with a clinical recommendation for the vaccine, Dave replies, “Why </w:t>
      </w:r>
      <w:r w:rsidR="00340AC8">
        <w:rPr>
          <w:b/>
        </w:rPr>
        <w:t>do I need to</w:t>
      </w:r>
      <w:r w:rsidR="007F20B4">
        <w:rPr>
          <w:b/>
        </w:rPr>
        <w:t>? I work from home and have never gotten the flu</w:t>
      </w:r>
      <w:r w:rsidR="00340AC8">
        <w:rPr>
          <w:b/>
        </w:rPr>
        <w:t xml:space="preserve"> before</w:t>
      </w:r>
      <w:r w:rsidR="007F20B4">
        <w:rPr>
          <w:b/>
        </w:rPr>
        <w:t>. What’s the point?!” Which barrier is preventing Dave from getting the flu shot?</w:t>
      </w:r>
    </w:p>
    <w:p w14:paraId="7D266DF0" w14:textId="77777777" w:rsidR="0071274A" w:rsidRPr="0071274A" w:rsidRDefault="0071274A" w:rsidP="0071274A">
      <w:pPr>
        <w:rPr>
          <w:b/>
        </w:rPr>
      </w:pPr>
      <w:r w:rsidRPr="0071274A">
        <w:rPr>
          <w:rFonts w:cstheme="minorHAnsi"/>
        </w:rPr>
        <w:t>A.</w:t>
      </w:r>
      <w:r w:rsidR="007F20B4">
        <w:rPr>
          <w:rFonts w:cstheme="minorHAnsi"/>
        </w:rPr>
        <w:t xml:space="preserve"> Distrust of vaccine</w:t>
      </w:r>
    </w:p>
    <w:p w14:paraId="465478CA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7F20B4">
        <w:rPr>
          <w:rFonts w:cstheme="minorHAnsi"/>
        </w:rPr>
        <w:t xml:space="preserve"> Misinformation</w:t>
      </w:r>
    </w:p>
    <w:p w14:paraId="31AAA6BD" w14:textId="41DD2F32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7F20B4">
        <w:rPr>
          <w:rFonts w:cstheme="minorHAnsi"/>
        </w:rPr>
        <w:t xml:space="preserve"> Perceived need for vaccine</w:t>
      </w:r>
    </w:p>
    <w:p w14:paraId="7ACB73D4" w14:textId="77777777" w:rsidR="000D7C3F" w:rsidRDefault="000D7C3F" w:rsidP="0071274A"/>
    <w:p w14:paraId="05D59DEE" w14:textId="77777777" w:rsidR="000D7C3F" w:rsidRDefault="000D7C3F" w:rsidP="000D7C3F">
      <w:pPr>
        <w:rPr>
          <w:highlight w:val="green"/>
        </w:rPr>
      </w:pPr>
    </w:p>
    <w:p w14:paraId="6F185B3F" w14:textId="77777777" w:rsidR="000D7C3F" w:rsidRPr="000D7C3F" w:rsidRDefault="000D7C3F" w:rsidP="000D7C3F">
      <w:pPr>
        <w:rPr>
          <w:b/>
        </w:rPr>
      </w:pPr>
      <w:r w:rsidRPr="00DC3546">
        <w:rPr>
          <w:b/>
        </w:rPr>
        <w:t xml:space="preserve">6. </w:t>
      </w:r>
      <w:r w:rsidR="00F66393">
        <w:rPr>
          <w:b/>
        </w:rPr>
        <w:t xml:space="preserve">Manny is a regular customer who appears to be up to date on </w:t>
      </w:r>
      <w:proofErr w:type="gramStart"/>
      <w:r w:rsidR="00F66393">
        <w:rPr>
          <w:b/>
        </w:rPr>
        <w:t>all of</w:t>
      </w:r>
      <w:proofErr w:type="gramEnd"/>
      <w:r w:rsidR="00F66393">
        <w:rPr>
          <w:b/>
        </w:rPr>
        <w:t xml:space="preserve"> his vaccines except for the shingles vaccination. </w:t>
      </w:r>
      <w:r w:rsidR="00477548">
        <w:rPr>
          <w:b/>
        </w:rPr>
        <w:t xml:space="preserve">When you ask him why, he states that it’s for religious reasons, but says “I’d give it a try if there’s a shot without any </w:t>
      </w:r>
      <w:r w:rsidR="00843182">
        <w:rPr>
          <w:b/>
        </w:rPr>
        <w:t>pork</w:t>
      </w:r>
      <w:r w:rsidR="00477548">
        <w:rPr>
          <w:b/>
        </w:rPr>
        <w:t xml:space="preserve"> in it.” Which intervention strategy would be most appropriate for Manny’s situation?</w:t>
      </w:r>
    </w:p>
    <w:p w14:paraId="14716B0A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A.</w:t>
      </w:r>
      <w:r w:rsidR="00477548">
        <w:rPr>
          <w:rFonts w:cstheme="minorHAnsi"/>
        </w:rPr>
        <w:t xml:space="preserve"> Motivational interviewing</w:t>
      </w:r>
      <w:r w:rsidR="00843182">
        <w:rPr>
          <w:rFonts w:cstheme="minorHAnsi"/>
        </w:rPr>
        <w:t xml:space="preserve"> about worldview</w:t>
      </w:r>
    </w:p>
    <w:p w14:paraId="5E240884" w14:textId="77777777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B.</w:t>
      </w:r>
      <w:r w:rsidR="00477548">
        <w:rPr>
          <w:rFonts w:cstheme="minorHAnsi"/>
        </w:rPr>
        <w:t xml:space="preserve"> Debiasing </w:t>
      </w:r>
      <w:r w:rsidR="00B440B7">
        <w:rPr>
          <w:rFonts w:cstheme="minorHAnsi"/>
        </w:rPr>
        <w:t>techniques</w:t>
      </w:r>
      <w:r w:rsidR="00843182">
        <w:rPr>
          <w:rFonts w:cstheme="minorHAnsi"/>
        </w:rPr>
        <w:t xml:space="preserve"> to address overkill</w:t>
      </w:r>
    </w:p>
    <w:p w14:paraId="27679E66" w14:textId="5D686C80" w:rsidR="0071274A" w:rsidRPr="0071274A" w:rsidRDefault="0071274A" w:rsidP="0071274A">
      <w:pPr>
        <w:rPr>
          <w:rFonts w:cstheme="minorHAnsi"/>
        </w:rPr>
      </w:pPr>
      <w:r w:rsidRPr="0071274A">
        <w:rPr>
          <w:rFonts w:cstheme="minorHAnsi"/>
        </w:rPr>
        <w:t>C.</w:t>
      </w:r>
      <w:r w:rsidR="00477548">
        <w:rPr>
          <w:rFonts w:cstheme="minorHAnsi"/>
        </w:rPr>
        <w:t xml:space="preserve"> </w:t>
      </w:r>
      <w:r w:rsidR="00843182">
        <w:rPr>
          <w:rFonts w:cstheme="minorHAnsi"/>
        </w:rPr>
        <w:t xml:space="preserve">Offering </w:t>
      </w:r>
      <w:proofErr w:type="spellStart"/>
      <w:r w:rsidR="00843182">
        <w:rPr>
          <w:rFonts w:cstheme="minorHAnsi"/>
        </w:rPr>
        <w:t>Shingrix</w:t>
      </w:r>
      <w:proofErr w:type="spellEnd"/>
      <w:r w:rsidR="00843182">
        <w:rPr>
          <w:rFonts w:cstheme="minorHAnsi"/>
        </w:rPr>
        <w:t xml:space="preserve"> as an alternative</w:t>
      </w:r>
    </w:p>
    <w:p w14:paraId="4D347EDA" w14:textId="77777777" w:rsidR="000D7C3F" w:rsidRDefault="000D7C3F" w:rsidP="000D7C3F"/>
    <w:p w14:paraId="5A3E5914" w14:textId="77777777" w:rsidR="00347C57" w:rsidRPr="00347C57" w:rsidRDefault="00347C57" w:rsidP="0071274A">
      <w:pPr>
        <w:rPr>
          <w:rFonts w:cstheme="minorHAnsi"/>
        </w:rPr>
      </w:pPr>
      <w:bookmarkStart w:id="0" w:name="_GoBack"/>
      <w:bookmarkEnd w:id="0"/>
    </w:p>
    <w:sectPr w:rsidR="00347C57" w:rsidRPr="00347C57" w:rsidSect="00E1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13B82"/>
    <w:multiLevelType w:val="hybridMultilevel"/>
    <w:tmpl w:val="CF4E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F3BEE"/>
    <w:multiLevelType w:val="hybridMultilevel"/>
    <w:tmpl w:val="9C1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D11B8"/>
    <w:multiLevelType w:val="hybridMultilevel"/>
    <w:tmpl w:val="629C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C952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B0313"/>
    <w:multiLevelType w:val="hybridMultilevel"/>
    <w:tmpl w:val="774E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24E5"/>
    <w:multiLevelType w:val="hybridMultilevel"/>
    <w:tmpl w:val="A9DAAA92"/>
    <w:lvl w:ilvl="0" w:tplc="D2FE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582A3E"/>
    <w:multiLevelType w:val="hybridMultilevel"/>
    <w:tmpl w:val="6F8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442"/>
    <w:multiLevelType w:val="hybridMultilevel"/>
    <w:tmpl w:val="ABECEB4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3FB4105F"/>
    <w:multiLevelType w:val="hybridMultilevel"/>
    <w:tmpl w:val="594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5C2B"/>
    <w:multiLevelType w:val="hybridMultilevel"/>
    <w:tmpl w:val="E4C61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D3155A"/>
    <w:multiLevelType w:val="multilevel"/>
    <w:tmpl w:val="64C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6CE5B22"/>
    <w:multiLevelType w:val="hybridMultilevel"/>
    <w:tmpl w:val="BA167FC6"/>
    <w:lvl w:ilvl="0" w:tplc="BDF27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8F4AEC"/>
    <w:multiLevelType w:val="hybridMultilevel"/>
    <w:tmpl w:val="01ACA4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EE69AC"/>
    <w:multiLevelType w:val="hybridMultilevel"/>
    <w:tmpl w:val="F4A282F8"/>
    <w:lvl w:ilvl="0" w:tplc="CCBA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506B86"/>
    <w:multiLevelType w:val="hybridMultilevel"/>
    <w:tmpl w:val="A3E65D9C"/>
    <w:lvl w:ilvl="0" w:tplc="5F0A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815F8"/>
    <w:multiLevelType w:val="hybridMultilevel"/>
    <w:tmpl w:val="062059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2"/>
  </w:num>
  <w:num w:numId="5">
    <w:abstractNumId w:val="1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9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3807D7A3-5169-4528-8EFE-79DEBE1E4B43}"/>
    <w:docVar w:name="dgnword-eventsink" w:val="211827040"/>
  </w:docVars>
  <w:rsids>
    <w:rsidRoot w:val="000D7C3F"/>
    <w:rsid w:val="00031A59"/>
    <w:rsid w:val="00033FE1"/>
    <w:rsid w:val="00061D59"/>
    <w:rsid w:val="000751B3"/>
    <w:rsid w:val="000B55C9"/>
    <w:rsid w:val="000D7C3F"/>
    <w:rsid w:val="000E0643"/>
    <w:rsid w:val="00131461"/>
    <w:rsid w:val="0017213D"/>
    <w:rsid w:val="001D002D"/>
    <w:rsid w:val="0023186B"/>
    <w:rsid w:val="0023391C"/>
    <w:rsid w:val="002674B1"/>
    <w:rsid w:val="0029671D"/>
    <w:rsid w:val="002C0C5A"/>
    <w:rsid w:val="002C7923"/>
    <w:rsid w:val="002D3560"/>
    <w:rsid w:val="003205E6"/>
    <w:rsid w:val="00333F08"/>
    <w:rsid w:val="00340AC8"/>
    <w:rsid w:val="00347C57"/>
    <w:rsid w:val="00377365"/>
    <w:rsid w:val="00394DD3"/>
    <w:rsid w:val="003A6493"/>
    <w:rsid w:val="003A64EB"/>
    <w:rsid w:val="003D4B88"/>
    <w:rsid w:val="003F6E14"/>
    <w:rsid w:val="00422D78"/>
    <w:rsid w:val="00457389"/>
    <w:rsid w:val="00470134"/>
    <w:rsid w:val="00477548"/>
    <w:rsid w:val="004A146F"/>
    <w:rsid w:val="004A7840"/>
    <w:rsid w:val="004B6094"/>
    <w:rsid w:val="004C228A"/>
    <w:rsid w:val="004F6571"/>
    <w:rsid w:val="005002F3"/>
    <w:rsid w:val="0050700E"/>
    <w:rsid w:val="00547768"/>
    <w:rsid w:val="005668C2"/>
    <w:rsid w:val="00586A51"/>
    <w:rsid w:val="0069108B"/>
    <w:rsid w:val="006A52D7"/>
    <w:rsid w:val="006C1967"/>
    <w:rsid w:val="006C5AC9"/>
    <w:rsid w:val="006E32B0"/>
    <w:rsid w:val="006E5359"/>
    <w:rsid w:val="0071274A"/>
    <w:rsid w:val="00734E8D"/>
    <w:rsid w:val="00742F01"/>
    <w:rsid w:val="00782941"/>
    <w:rsid w:val="007A501B"/>
    <w:rsid w:val="007F20B4"/>
    <w:rsid w:val="007F2F61"/>
    <w:rsid w:val="0080497C"/>
    <w:rsid w:val="00843182"/>
    <w:rsid w:val="00854FC4"/>
    <w:rsid w:val="0088662C"/>
    <w:rsid w:val="008D4153"/>
    <w:rsid w:val="008F67AE"/>
    <w:rsid w:val="009154DB"/>
    <w:rsid w:val="0093237F"/>
    <w:rsid w:val="00974B88"/>
    <w:rsid w:val="00986217"/>
    <w:rsid w:val="009B0E80"/>
    <w:rsid w:val="009B37E2"/>
    <w:rsid w:val="009B43A4"/>
    <w:rsid w:val="009B6C72"/>
    <w:rsid w:val="009D0C56"/>
    <w:rsid w:val="00A06B0B"/>
    <w:rsid w:val="00A14EB8"/>
    <w:rsid w:val="00A215DC"/>
    <w:rsid w:val="00A3510A"/>
    <w:rsid w:val="00A563CD"/>
    <w:rsid w:val="00A7117D"/>
    <w:rsid w:val="00A816E6"/>
    <w:rsid w:val="00A87C7D"/>
    <w:rsid w:val="00AC064C"/>
    <w:rsid w:val="00AD3486"/>
    <w:rsid w:val="00B440B7"/>
    <w:rsid w:val="00B45FF7"/>
    <w:rsid w:val="00B70FD4"/>
    <w:rsid w:val="00B90779"/>
    <w:rsid w:val="00B909D3"/>
    <w:rsid w:val="00BE70C0"/>
    <w:rsid w:val="00C16D13"/>
    <w:rsid w:val="00C37E2F"/>
    <w:rsid w:val="00CA40CE"/>
    <w:rsid w:val="00D02818"/>
    <w:rsid w:val="00D30F10"/>
    <w:rsid w:val="00D704BB"/>
    <w:rsid w:val="00D96E08"/>
    <w:rsid w:val="00DC3546"/>
    <w:rsid w:val="00DC6158"/>
    <w:rsid w:val="00DE6FD0"/>
    <w:rsid w:val="00DF2F6D"/>
    <w:rsid w:val="00E139C3"/>
    <w:rsid w:val="00E16EAC"/>
    <w:rsid w:val="00E46B74"/>
    <w:rsid w:val="00E6185D"/>
    <w:rsid w:val="00ED0B7A"/>
    <w:rsid w:val="00F050A8"/>
    <w:rsid w:val="00F24F66"/>
    <w:rsid w:val="00F508FF"/>
    <w:rsid w:val="00F64EF0"/>
    <w:rsid w:val="00F6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7321E"/>
  <w15:docId w15:val="{6AD6DA7D-4AA2-4450-97D2-8B5CB25F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3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86"/>
    <w:pPr>
      <w:pBdr>
        <w:bottom w:val="single" w:sz="18" w:space="1" w:color="205E30"/>
      </w:pBdr>
      <w:spacing w:before="480" w:after="120"/>
      <w:outlineLvl w:val="0"/>
    </w:pPr>
    <w:rPr>
      <w:rFonts w:ascii="Arial" w:eastAsia="Times New Roman" w:hAnsi="Arial" w:cs="Times New Roman"/>
      <w:b/>
      <w:bCs/>
      <w:caps/>
      <w:color w:val="205E30"/>
      <w:sz w:val="40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ediumGrid1-Accent21">
    <w:name w:val="Medium Grid 1 - Accent 21"/>
    <w:basedOn w:val="Normal"/>
    <w:qFormat/>
    <w:rsid w:val="000D7C3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styleId="Strong">
    <w:name w:val="Strong"/>
    <w:qFormat/>
    <w:rsid w:val="000D7C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D7C3F"/>
  </w:style>
  <w:style w:type="character" w:customStyle="1" w:styleId="CommentTextChar">
    <w:name w:val="Comment Text Char"/>
    <w:basedOn w:val="DefaultParagraphFont"/>
    <w:link w:val="CommentText"/>
    <w:uiPriority w:val="99"/>
    <w:rsid w:val="000D7C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F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D3486"/>
    <w:rPr>
      <w:rFonts w:ascii="Arial" w:eastAsia="Times New Roman" w:hAnsi="Arial" w:cs="Times New Roman"/>
      <w:b/>
      <w:bCs/>
      <w:caps/>
      <w:color w:val="205E30"/>
      <w:sz w:val="4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86"/>
    <w:rPr>
      <w:rFonts w:eastAsiaTheme="minorEastAsi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Nault, Joanne</cp:lastModifiedBy>
  <cp:revision>2</cp:revision>
  <dcterms:created xsi:type="dcterms:W3CDTF">2020-08-20T20:17:00Z</dcterms:created>
  <dcterms:modified xsi:type="dcterms:W3CDTF">2020-08-20T20:17:00Z</dcterms:modified>
</cp:coreProperties>
</file>