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29D9C" w14:textId="77777777" w:rsidR="008454B8" w:rsidRPr="00777583" w:rsidRDefault="008454B8" w:rsidP="008454B8">
      <w:pPr>
        <w:jc w:val="both"/>
        <w:rPr>
          <w:rFonts w:eastAsia="Times New Roman" w:cstheme="minorHAnsi"/>
          <w:b/>
          <w:bCs/>
          <w:color w:val="2E75B5"/>
          <w:kern w:val="36"/>
        </w:rPr>
      </w:pPr>
      <w:r w:rsidRPr="00777583">
        <w:rPr>
          <w:rFonts w:eastAsia="Times New Roman" w:cstheme="minorHAnsi"/>
          <w:b/>
          <w:bCs/>
          <w:color w:val="000000"/>
        </w:rPr>
        <w:t>Venus AND Mars: Helping Women AND Men with Osteoporosis</w:t>
      </w:r>
    </w:p>
    <w:p w14:paraId="0EB5368D" w14:textId="77777777" w:rsidR="008454B8" w:rsidRPr="00777583" w:rsidRDefault="008454B8" w:rsidP="008454B8">
      <w:pPr>
        <w:jc w:val="both"/>
        <w:rPr>
          <w:rFonts w:cstheme="minorHAnsi"/>
        </w:rPr>
      </w:pPr>
      <w:r w:rsidRPr="00575CAF">
        <w:rPr>
          <w:rFonts w:cstheme="minorHAnsi"/>
        </w:rPr>
        <w:t>Pharmacist</w:t>
      </w:r>
      <w:r w:rsidRPr="00777583">
        <w:rPr>
          <w:rFonts w:cstheme="minorHAnsi"/>
        </w:rPr>
        <w:t xml:space="preserve"> Post-test</w:t>
      </w:r>
    </w:p>
    <w:p w14:paraId="58FA80A2" w14:textId="77777777" w:rsidR="008454B8" w:rsidRPr="00777583" w:rsidRDefault="008454B8" w:rsidP="008454B8">
      <w:pPr>
        <w:jc w:val="both"/>
        <w:rPr>
          <w:rFonts w:cstheme="minorHAnsi"/>
        </w:rPr>
      </w:pPr>
    </w:p>
    <w:p w14:paraId="1D25B6A6" w14:textId="77777777" w:rsidR="008454B8" w:rsidRPr="00777583" w:rsidRDefault="008454B8" w:rsidP="008454B8">
      <w:pPr>
        <w:rPr>
          <w:rFonts w:cstheme="minorHAnsi"/>
        </w:rPr>
      </w:pPr>
      <w:r w:rsidRPr="00777583">
        <w:rPr>
          <w:rFonts w:cstheme="minorHAnsi"/>
        </w:rPr>
        <w:t>After completing this continuing education activity, pharmacists will be able to</w:t>
      </w:r>
    </w:p>
    <w:p w14:paraId="4ADCB214" w14:textId="2831CE84" w:rsidR="008454B8" w:rsidRPr="00777583" w:rsidRDefault="00EC0AAC" w:rsidP="008454B8">
      <w:pPr>
        <w:pStyle w:val="ListParagraph"/>
        <w:numPr>
          <w:ilvl w:val="0"/>
          <w:numId w:val="14"/>
        </w:numPr>
        <w:shd w:val="clear" w:color="auto" w:fill="FFFFFF"/>
        <w:spacing w:after="0" w:line="240" w:lineRule="auto"/>
        <w:rPr>
          <w:rFonts w:eastAsia="Times New Roman" w:cstheme="minorHAnsi"/>
          <w:sz w:val="24"/>
          <w:szCs w:val="24"/>
        </w:rPr>
      </w:pPr>
      <w:r w:rsidRPr="00777583">
        <w:rPr>
          <w:rFonts w:eastAsia="Times New Roman" w:cstheme="minorHAnsi"/>
          <w:sz w:val="24"/>
          <w:szCs w:val="24"/>
        </w:rPr>
        <w:t xml:space="preserve">LIST </w:t>
      </w:r>
      <w:r w:rsidR="008454B8" w:rsidRPr="00777583">
        <w:rPr>
          <w:rFonts w:eastAsia="Times New Roman" w:cstheme="minorHAnsi"/>
          <w:sz w:val="24"/>
          <w:szCs w:val="24"/>
        </w:rPr>
        <w:t>the pathogenesis and classification of osteoporosis in men and women</w:t>
      </w:r>
    </w:p>
    <w:p w14:paraId="0FA896D0" w14:textId="510BBBB9" w:rsidR="008454B8" w:rsidRPr="00777583" w:rsidRDefault="00EC0AAC" w:rsidP="008454B8">
      <w:pPr>
        <w:pStyle w:val="ListParagraph"/>
        <w:numPr>
          <w:ilvl w:val="0"/>
          <w:numId w:val="14"/>
        </w:numPr>
        <w:shd w:val="clear" w:color="auto" w:fill="FFFFFF"/>
        <w:spacing w:after="0" w:line="240" w:lineRule="auto"/>
        <w:rPr>
          <w:rFonts w:eastAsia="Times New Roman" w:cstheme="minorHAnsi"/>
          <w:sz w:val="24"/>
          <w:szCs w:val="24"/>
        </w:rPr>
      </w:pPr>
      <w:r w:rsidRPr="00777583">
        <w:rPr>
          <w:rFonts w:eastAsia="Times New Roman" w:cstheme="minorHAnsi"/>
          <w:sz w:val="24"/>
          <w:szCs w:val="24"/>
        </w:rPr>
        <w:t xml:space="preserve">DESCRIBE </w:t>
      </w:r>
      <w:r w:rsidR="008454B8" w:rsidRPr="00777583">
        <w:rPr>
          <w:rFonts w:eastAsia="Times New Roman" w:cstheme="minorHAnsi"/>
          <w:sz w:val="24"/>
          <w:szCs w:val="24"/>
        </w:rPr>
        <w:t>misconceptions about bisphosphonates and the best ways to dispel myths</w:t>
      </w:r>
    </w:p>
    <w:p w14:paraId="51AE7278" w14:textId="50B1A336" w:rsidR="008454B8" w:rsidRPr="00777583" w:rsidRDefault="00EC0AAC" w:rsidP="008454B8">
      <w:pPr>
        <w:pStyle w:val="ListParagraph"/>
        <w:numPr>
          <w:ilvl w:val="0"/>
          <w:numId w:val="14"/>
        </w:numPr>
        <w:shd w:val="clear" w:color="auto" w:fill="FFFFFF"/>
        <w:spacing w:after="0" w:line="240" w:lineRule="auto"/>
        <w:rPr>
          <w:rFonts w:eastAsia="Times New Roman" w:cstheme="minorHAnsi"/>
          <w:sz w:val="24"/>
          <w:szCs w:val="24"/>
        </w:rPr>
      </w:pPr>
      <w:r w:rsidRPr="00777583">
        <w:rPr>
          <w:rFonts w:eastAsia="Times New Roman" w:cstheme="minorHAnsi"/>
          <w:sz w:val="24"/>
          <w:szCs w:val="24"/>
        </w:rPr>
        <w:t xml:space="preserve">DETERMINE </w:t>
      </w:r>
      <w:r w:rsidR="008454B8" w:rsidRPr="00777583">
        <w:rPr>
          <w:rFonts w:eastAsia="Times New Roman" w:cstheme="minorHAnsi"/>
          <w:sz w:val="24"/>
          <w:szCs w:val="24"/>
        </w:rPr>
        <w:t>the components of individualized treatment plans for women, men, and patients who are intolerant to specific treatments</w:t>
      </w:r>
    </w:p>
    <w:p w14:paraId="2C6A3552" w14:textId="298C967B" w:rsidR="008454B8" w:rsidRPr="00777583" w:rsidRDefault="00EC0AAC" w:rsidP="008454B8">
      <w:pPr>
        <w:pStyle w:val="ListParagraph"/>
        <w:numPr>
          <w:ilvl w:val="0"/>
          <w:numId w:val="14"/>
        </w:numPr>
        <w:shd w:val="clear" w:color="auto" w:fill="FFFFFF"/>
        <w:spacing w:after="0" w:line="240" w:lineRule="auto"/>
        <w:rPr>
          <w:rFonts w:eastAsia="Times New Roman" w:cstheme="minorHAnsi"/>
          <w:sz w:val="24"/>
          <w:szCs w:val="24"/>
        </w:rPr>
      </w:pPr>
      <w:r w:rsidRPr="00777583">
        <w:rPr>
          <w:rFonts w:eastAsia="Times New Roman" w:cstheme="minorHAnsi"/>
          <w:sz w:val="24"/>
          <w:szCs w:val="24"/>
        </w:rPr>
        <w:t xml:space="preserve">USE </w:t>
      </w:r>
      <w:r w:rsidR="008454B8" w:rsidRPr="00777583">
        <w:rPr>
          <w:rFonts w:eastAsia="Times New Roman" w:cstheme="minorHAnsi"/>
          <w:sz w:val="24"/>
          <w:szCs w:val="24"/>
        </w:rPr>
        <w:t>this information to expand the pharmacist’s role in adherence and monitoring to attain therapeutic treatment goals</w:t>
      </w:r>
    </w:p>
    <w:p w14:paraId="018C4876" w14:textId="77777777" w:rsidR="008454B8" w:rsidRPr="00777583" w:rsidRDefault="008454B8" w:rsidP="008454B8">
      <w:pPr>
        <w:rPr>
          <w:rFonts w:cstheme="minorHAnsi"/>
        </w:rPr>
      </w:pPr>
    </w:p>
    <w:p w14:paraId="7DC476C8" w14:textId="695FFCCE" w:rsidR="008454B8" w:rsidRPr="00777583" w:rsidRDefault="008454B8" w:rsidP="008454B8">
      <w:pPr>
        <w:rPr>
          <w:rFonts w:cstheme="minorHAnsi"/>
        </w:rPr>
      </w:pPr>
      <w:r w:rsidRPr="00777583">
        <w:rPr>
          <w:rFonts w:cstheme="minorHAnsi"/>
          <w:b/>
        </w:rPr>
        <w:t xml:space="preserve">1. </w:t>
      </w:r>
      <w:r w:rsidRPr="00777583">
        <w:rPr>
          <w:rFonts w:cstheme="minorHAnsi"/>
          <w:b/>
          <w:bCs/>
        </w:rPr>
        <w:t xml:space="preserve">A 60-year-old </w:t>
      </w:r>
      <w:r w:rsidR="007941C1">
        <w:rPr>
          <w:rFonts w:cstheme="minorHAnsi"/>
          <w:b/>
          <w:bCs/>
        </w:rPr>
        <w:t>female’s</w:t>
      </w:r>
      <w:r w:rsidRPr="00777583">
        <w:rPr>
          <w:rFonts w:cstheme="minorHAnsi"/>
          <w:b/>
          <w:bCs/>
        </w:rPr>
        <w:t xml:space="preserve"> DXA scan reveals T-scores of -1.8 and -2.2 at the spine and total hip, respectively. Her FRAX </w:t>
      </w:r>
      <w:r w:rsidR="00C530DD">
        <w:rPr>
          <w:rFonts w:cstheme="minorHAnsi"/>
          <w:b/>
          <w:bCs/>
        </w:rPr>
        <w:t xml:space="preserve">score </w:t>
      </w:r>
      <w:r w:rsidRPr="00777583">
        <w:rPr>
          <w:rFonts w:cstheme="minorHAnsi"/>
          <w:b/>
          <w:bCs/>
        </w:rPr>
        <w:t>indicates a 5%</w:t>
      </w:r>
      <w:r w:rsidR="00C530DD">
        <w:rPr>
          <w:rFonts w:cstheme="minorHAnsi"/>
          <w:b/>
          <w:bCs/>
        </w:rPr>
        <w:t>,</w:t>
      </w:r>
      <w:r w:rsidRPr="00777583">
        <w:rPr>
          <w:rFonts w:cstheme="minorHAnsi"/>
          <w:b/>
          <w:bCs/>
        </w:rPr>
        <w:t xml:space="preserve"> 10-year probability of a hip fracture and a 12%</w:t>
      </w:r>
      <w:r w:rsidR="00C530DD">
        <w:rPr>
          <w:rFonts w:cstheme="minorHAnsi"/>
          <w:b/>
          <w:bCs/>
        </w:rPr>
        <w:t>,</w:t>
      </w:r>
      <w:r w:rsidRPr="00777583">
        <w:rPr>
          <w:rFonts w:cstheme="minorHAnsi"/>
          <w:b/>
          <w:bCs/>
        </w:rPr>
        <w:t xml:space="preserve"> 10-year probability of a major osteoporotic fracture. Using the AACE/ACE guidelines, which of the following statements is true?</w:t>
      </w:r>
    </w:p>
    <w:p w14:paraId="750DE565" w14:textId="77777777" w:rsidR="008454B8" w:rsidRPr="00777583" w:rsidRDefault="008454B8" w:rsidP="008454B8">
      <w:pPr>
        <w:pStyle w:val="ListParagraph"/>
        <w:numPr>
          <w:ilvl w:val="0"/>
          <w:numId w:val="19"/>
        </w:numPr>
        <w:spacing w:after="0" w:line="240" w:lineRule="auto"/>
        <w:rPr>
          <w:rFonts w:cstheme="minorHAnsi"/>
          <w:sz w:val="24"/>
          <w:szCs w:val="24"/>
        </w:rPr>
      </w:pPr>
      <w:r w:rsidRPr="00777583">
        <w:rPr>
          <w:rFonts w:cstheme="minorHAnsi"/>
          <w:sz w:val="24"/>
          <w:szCs w:val="24"/>
        </w:rPr>
        <w:t>She is a candidate for osteoporosis treatment based on her T-scores alone.</w:t>
      </w:r>
    </w:p>
    <w:p w14:paraId="31263A1F" w14:textId="1EC0A5F8" w:rsidR="008454B8" w:rsidRPr="00777583" w:rsidRDefault="008454B8" w:rsidP="008454B8">
      <w:pPr>
        <w:pStyle w:val="ListParagraph"/>
        <w:numPr>
          <w:ilvl w:val="0"/>
          <w:numId w:val="19"/>
        </w:numPr>
        <w:spacing w:after="0" w:line="240" w:lineRule="auto"/>
        <w:rPr>
          <w:rFonts w:cstheme="minorHAnsi"/>
          <w:bCs/>
          <w:sz w:val="24"/>
          <w:szCs w:val="24"/>
        </w:rPr>
      </w:pPr>
      <w:r w:rsidRPr="00777583">
        <w:rPr>
          <w:rFonts w:cstheme="minorHAnsi"/>
          <w:bCs/>
          <w:sz w:val="24"/>
          <w:szCs w:val="24"/>
        </w:rPr>
        <w:t>She is a candidate for osteoporosis treatment based on her T-score at the hip and her 10-year probability of a hip fracture.</w:t>
      </w:r>
    </w:p>
    <w:p w14:paraId="2290766E" w14:textId="37010B25" w:rsidR="008454B8" w:rsidRPr="00777583" w:rsidRDefault="008454B8" w:rsidP="008454B8">
      <w:pPr>
        <w:pStyle w:val="ListParagraph"/>
        <w:numPr>
          <w:ilvl w:val="0"/>
          <w:numId w:val="19"/>
        </w:numPr>
        <w:spacing w:after="0" w:line="240" w:lineRule="auto"/>
        <w:rPr>
          <w:rFonts w:cstheme="minorHAnsi"/>
          <w:sz w:val="24"/>
          <w:szCs w:val="24"/>
        </w:rPr>
      </w:pPr>
      <w:r w:rsidRPr="00777583">
        <w:rPr>
          <w:rFonts w:cstheme="minorHAnsi"/>
          <w:sz w:val="24"/>
          <w:szCs w:val="24"/>
        </w:rPr>
        <w:t xml:space="preserve">She is a candidate for osteoporosis treatment based on her T-score at the spine and </w:t>
      </w:r>
      <w:r w:rsidR="00C530DD">
        <w:rPr>
          <w:rFonts w:cstheme="minorHAnsi"/>
          <w:sz w:val="24"/>
          <w:szCs w:val="24"/>
        </w:rPr>
        <w:t xml:space="preserve">her </w:t>
      </w:r>
      <w:r w:rsidRPr="00777583">
        <w:rPr>
          <w:rFonts w:cstheme="minorHAnsi"/>
          <w:sz w:val="24"/>
          <w:szCs w:val="24"/>
        </w:rPr>
        <w:t>10-year probability of a major osteoporotic fracture.</w:t>
      </w:r>
    </w:p>
    <w:p w14:paraId="21CC61A8" w14:textId="77777777" w:rsidR="008454B8" w:rsidRPr="00777583" w:rsidRDefault="008454B8" w:rsidP="008454B8">
      <w:pPr>
        <w:rPr>
          <w:rFonts w:cstheme="minorHAnsi"/>
        </w:rPr>
      </w:pPr>
    </w:p>
    <w:p w14:paraId="38CB39AE" w14:textId="5DAB86CF" w:rsidR="008454B8" w:rsidRPr="00777583" w:rsidRDefault="008454B8" w:rsidP="008454B8">
      <w:pPr>
        <w:contextualSpacing/>
        <w:rPr>
          <w:rFonts w:cstheme="minorHAnsi"/>
          <w:b/>
          <w:bCs/>
        </w:rPr>
      </w:pPr>
      <w:r w:rsidRPr="00777583">
        <w:rPr>
          <w:rFonts w:cstheme="minorHAnsi"/>
          <w:b/>
        </w:rPr>
        <w:t xml:space="preserve">2. </w:t>
      </w:r>
      <w:r w:rsidR="00383F1F">
        <w:rPr>
          <w:rFonts w:cstheme="minorHAnsi"/>
          <w:b/>
          <w:bCs/>
        </w:rPr>
        <w:t>E</w:t>
      </w:r>
      <w:r w:rsidR="00383F1F" w:rsidRPr="00777583">
        <w:rPr>
          <w:rFonts w:cstheme="minorHAnsi"/>
          <w:b/>
          <w:bCs/>
        </w:rPr>
        <w:t xml:space="preserve">vidence </w:t>
      </w:r>
      <w:r w:rsidR="00BB0CD5">
        <w:rPr>
          <w:rFonts w:cstheme="minorHAnsi"/>
          <w:b/>
          <w:bCs/>
        </w:rPr>
        <w:t>demonstrates</w:t>
      </w:r>
      <w:r w:rsidR="00383F1F">
        <w:rPr>
          <w:rFonts w:cstheme="minorHAnsi"/>
          <w:b/>
          <w:bCs/>
        </w:rPr>
        <w:t xml:space="preserve"> that a</w:t>
      </w:r>
      <w:r w:rsidRPr="00777583">
        <w:rPr>
          <w:rFonts w:cstheme="minorHAnsi"/>
          <w:b/>
          <w:bCs/>
        </w:rPr>
        <w:t xml:space="preserve">ll bisphosphonates </w:t>
      </w:r>
      <w:r w:rsidR="00383F1F">
        <w:rPr>
          <w:rFonts w:cstheme="minorHAnsi"/>
          <w:b/>
          <w:bCs/>
        </w:rPr>
        <w:t>reduce</w:t>
      </w:r>
      <w:r w:rsidRPr="00777583">
        <w:rPr>
          <w:rFonts w:cstheme="minorHAnsi"/>
          <w:b/>
          <w:bCs/>
        </w:rPr>
        <w:t xml:space="preserve"> vertebral fracture risk. Which ones also reduce the risk of non-vertebral and hip fractures?</w:t>
      </w:r>
    </w:p>
    <w:p w14:paraId="6770A545" w14:textId="77777777" w:rsidR="008454B8" w:rsidRPr="00777583" w:rsidRDefault="008454B8" w:rsidP="008454B8">
      <w:pPr>
        <w:numPr>
          <w:ilvl w:val="0"/>
          <w:numId w:val="21"/>
        </w:numPr>
        <w:contextualSpacing/>
        <w:rPr>
          <w:rFonts w:cstheme="minorHAnsi"/>
          <w:bCs/>
        </w:rPr>
      </w:pPr>
      <w:r w:rsidRPr="00777583">
        <w:rPr>
          <w:rFonts w:cstheme="minorHAnsi"/>
          <w:bCs/>
        </w:rPr>
        <w:t>Alendronate, risedronate, and zoledronic acid</w:t>
      </w:r>
    </w:p>
    <w:p w14:paraId="678138D5" w14:textId="617B9930" w:rsidR="008454B8" w:rsidRPr="00777583" w:rsidRDefault="008454B8" w:rsidP="008454B8">
      <w:pPr>
        <w:numPr>
          <w:ilvl w:val="0"/>
          <w:numId w:val="21"/>
        </w:numPr>
        <w:contextualSpacing/>
        <w:rPr>
          <w:rFonts w:cstheme="minorHAnsi"/>
        </w:rPr>
      </w:pPr>
      <w:r w:rsidRPr="00777583">
        <w:rPr>
          <w:rFonts w:cstheme="minorHAnsi"/>
        </w:rPr>
        <w:t xml:space="preserve">Alendronate and </w:t>
      </w:r>
      <w:proofErr w:type="spellStart"/>
      <w:r w:rsidR="00313CA1">
        <w:rPr>
          <w:rFonts w:cstheme="minorHAnsi"/>
        </w:rPr>
        <w:t>abaloparatide</w:t>
      </w:r>
      <w:proofErr w:type="spellEnd"/>
    </w:p>
    <w:p w14:paraId="636E2B61" w14:textId="77777777" w:rsidR="008454B8" w:rsidRPr="00777583" w:rsidRDefault="008454B8" w:rsidP="008454B8">
      <w:pPr>
        <w:numPr>
          <w:ilvl w:val="0"/>
          <w:numId w:val="21"/>
        </w:numPr>
        <w:contextualSpacing/>
        <w:rPr>
          <w:rFonts w:cstheme="minorHAnsi"/>
        </w:rPr>
      </w:pPr>
      <w:r w:rsidRPr="00777583">
        <w:rPr>
          <w:rFonts w:cstheme="minorHAnsi"/>
        </w:rPr>
        <w:t>Ibandronate only</w:t>
      </w:r>
    </w:p>
    <w:p w14:paraId="4F5192B4" w14:textId="77777777" w:rsidR="008454B8" w:rsidRPr="00777583" w:rsidRDefault="008454B8" w:rsidP="008454B8">
      <w:pPr>
        <w:rPr>
          <w:rFonts w:cstheme="minorHAnsi"/>
        </w:rPr>
      </w:pPr>
    </w:p>
    <w:p w14:paraId="0775EBFF" w14:textId="22CFD0D5" w:rsidR="008454B8" w:rsidRPr="00777583" w:rsidRDefault="008454B8" w:rsidP="008454B8">
      <w:pPr>
        <w:contextualSpacing/>
        <w:rPr>
          <w:rFonts w:cstheme="minorHAnsi"/>
        </w:rPr>
      </w:pPr>
      <w:r w:rsidRPr="00777583">
        <w:rPr>
          <w:rFonts w:cstheme="minorHAnsi"/>
          <w:b/>
        </w:rPr>
        <w:t xml:space="preserve">3. </w:t>
      </w:r>
      <w:r w:rsidRPr="00777583">
        <w:rPr>
          <w:rFonts w:cstheme="minorHAnsi"/>
          <w:b/>
          <w:bCs/>
        </w:rPr>
        <w:t>A postmenopausal woman with osteoporosis has been taking alendronate 70</w:t>
      </w:r>
      <w:r w:rsidR="00EC0AAC">
        <w:rPr>
          <w:rFonts w:cstheme="minorHAnsi"/>
          <w:b/>
          <w:bCs/>
        </w:rPr>
        <w:t xml:space="preserve"> </w:t>
      </w:r>
      <w:r w:rsidRPr="00777583">
        <w:rPr>
          <w:rFonts w:cstheme="minorHAnsi"/>
          <w:b/>
          <w:bCs/>
        </w:rPr>
        <w:t xml:space="preserve">mg PO weekly for the last </w:t>
      </w:r>
      <w:r w:rsidR="00EC0AAC">
        <w:rPr>
          <w:rFonts w:cstheme="minorHAnsi"/>
          <w:b/>
          <w:bCs/>
        </w:rPr>
        <w:t>three</w:t>
      </w:r>
      <w:r w:rsidR="00EC0AAC" w:rsidRPr="00777583">
        <w:rPr>
          <w:rFonts w:cstheme="minorHAnsi"/>
          <w:b/>
          <w:bCs/>
        </w:rPr>
        <w:t xml:space="preserve"> </w:t>
      </w:r>
      <w:r w:rsidRPr="00777583">
        <w:rPr>
          <w:rFonts w:cstheme="minorHAnsi"/>
          <w:b/>
          <w:bCs/>
        </w:rPr>
        <w:t>years and experienced a vertebral fracture last week. Her doctor wants to switch alendronate to an alternative medication. Which of the following is the best option?</w:t>
      </w:r>
    </w:p>
    <w:p w14:paraId="51EB4FA1" w14:textId="5FABE8DE" w:rsidR="008454B8" w:rsidRPr="00777583" w:rsidRDefault="008454B8" w:rsidP="008454B8">
      <w:pPr>
        <w:numPr>
          <w:ilvl w:val="0"/>
          <w:numId w:val="18"/>
        </w:numPr>
        <w:contextualSpacing/>
        <w:rPr>
          <w:rFonts w:cstheme="minorHAnsi"/>
          <w:bCs/>
        </w:rPr>
      </w:pPr>
      <w:r w:rsidRPr="00777583">
        <w:rPr>
          <w:rFonts w:cstheme="minorHAnsi"/>
          <w:bCs/>
        </w:rPr>
        <w:t>Denosumab</w:t>
      </w:r>
    </w:p>
    <w:p w14:paraId="4B5AC3F5" w14:textId="77777777" w:rsidR="008454B8" w:rsidRPr="00777583" w:rsidRDefault="008454B8" w:rsidP="008454B8">
      <w:pPr>
        <w:numPr>
          <w:ilvl w:val="0"/>
          <w:numId w:val="18"/>
        </w:numPr>
        <w:contextualSpacing/>
        <w:rPr>
          <w:rFonts w:cstheme="minorHAnsi"/>
        </w:rPr>
      </w:pPr>
      <w:r w:rsidRPr="00777583">
        <w:rPr>
          <w:rFonts w:cstheme="minorHAnsi"/>
        </w:rPr>
        <w:t>Calcitonin</w:t>
      </w:r>
    </w:p>
    <w:p w14:paraId="741C5A21" w14:textId="77777777" w:rsidR="008454B8" w:rsidRPr="00777583" w:rsidRDefault="008454B8" w:rsidP="008454B8">
      <w:pPr>
        <w:numPr>
          <w:ilvl w:val="0"/>
          <w:numId w:val="18"/>
        </w:numPr>
        <w:contextualSpacing/>
        <w:rPr>
          <w:rFonts w:cstheme="minorHAnsi"/>
        </w:rPr>
      </w:pPr>
      <w:r w:rsidRPr="00777583">
        <w:rPr>
          <w:rFonts w:cstheme="minorHAnsi"/>
        </w:rPr>
        <w:t xml:space="preserve">Raloxifene </w:t>
      </w:r>
    </w:p>
    <w:p w14:paraId="55339E30" w14:textId="77777777" w:rsidR="008454B8" w:rsidRPr="00777583" w:rsidRDefault="008454B8" w:rsidP="008454B8">
      <w:pPr>
        <w:rPr>
          <w:rFonts w:cstheme="minorHAnsi"/>
        </w:rPr>
      </w:pPr>
    </w:p>
    <w:p w14:paraId="384877A5" w14:textId="198B3620" w:rsidR="008454B8" w:rsidRPr="00777583" w:rsidRDefault="008454B8" w:rsidP="008454B8">
      <w:pPr>
        <w:autoSpaceDE w:val="0"/>
        <w:autoSpaceDN w:val="0"/>
        <w:adjustRightInd w:val="0"/>
        <w:rPr>
          <w:rFonts w:eastAsiaTheme="minorHAnsi" w:cstheme="minorHAnsi"/>
          <w:b/>
          <w:bCs/>
          <w:lang w:eastAsia="en-US"/>
        </w:rPr>
      </w:pPr>
      <w:r w:rsidRPr="00777583">
        <w:rPr>
          <w:rFonts w:cstheme="minorHAnsi"/>
          <w:b/>
        </w:rPr>
        <w:t>4.</w:t>
      </w:r>
      <w:r w:rsidRPr="00777583">
        <w:rPr>
          <w:rFonts w:cstheme="minorHAnsi"/>
          <w:b/>
          <w:bCs/>
        </w:rPr>
        <w:t xml:space="preserve">  </w:t>
      </w:r>
      <w:r w:rsidRPr="00777583">
        <w:rPr>
          <w:rFonts w:eastAsiaTheme="minorHAnsi" w:cstheme="minorHAnsi"/>
          <w:b/>
          <w:bCs/>
          <w:lang w:eastAsia="en-US"/>
        </w:rPr>
        <w:t xml:space="preserve">A 70-year-old </w:t>
      </w:r>
      <w:r w:rsidR="007941C1">
        <w:rPr>
          <w:rFonts w:eastAsiaTheme="minorHAnsi" w:cstheme="minorHAnsi"/>
          <w:b/>
          <w:bCs/>
          <w:lang w:eastAsia="en-US"/>
        </w:rPr>
        <w:t>male</w:t>
      </w:r>
      <w:r w:rsidRPr="00777583">
        <w:rPr>
          <w:rFonts w:eastAsiaTheme="minorHAnsi" w:cstheme="minorHAnsi"/>
          <w:b/>
          <w:bCs/>
          <w:lang w:eastAsia="en-US"/>
        </w:rPr>
        <w:t xml:space="preserve"> experienced a hip fracture. He currently takes amlodipine 10 mg daily, cholecalciferol </w:t>
      </w:r>
      <w:r w:rsidR="00EF6117">
        <w:rPr>
          <w:rFonts w:eastAsiaTheme="minorHAnsi" w:cstheme="minorHAnsi"/>
          <w:b/>
          <w:bCs/>
          <w:lang w:eastAsia="en-US"/>
        </w:rPr>
        <w:t>10</w:t>
      </w:r>
      <w:r w:rsidRPr="00777583">
        <w:rPr>
          <w:rFonts w:eastAsiaTheme="minorHAnsi" w:cstheme="minorHAnsi"/>
          <w:b/>
          <w:bCs/>
          <w:lang w:eastAsia="en-US"/>
        </w:rPr>
        <w:t>00 units PO daily, and calcium carbonate 500 mg PO twice daily. His testosterone is 320 ng/mL (reference range 264</w:t>
      </w:r>
      <w:r w:rsidR="00EC0AAC">
        <w:rPr>
          <w:rFonts w:eastAsiaTheme="minorHAnsi" w:cstheme="minorHAnsi"/>
          <w:b/>
          <w:bCs/>
          <w:lang w:eastAsia="en-US"/>
        </w:rPr>
        <w:t xml:space="preserve"> to </w:t>
      </w:r>
      <w:r w:rsidRPr="00777583">
        <w:rPr>
          <w:rFonts w:eastAsiaTheme="minorHAnsi" w:cstheme="minorHAnsi"/>
          <w:b/>
          <w:bCs/>
          <w:lang w:eastAsia="en-US"/>
        </w:rPr>
        <w:t>916 ng/dL). Which one of the following is best to recommend initiating for this patient?</w:t>
      </w:r>
    </w:p>
    <w:p w14:paraId="4F22D779" w14:textId="77777777" w:rsidR="008454B8" w:rsidRPr="00777583" w:rsidRDefault="008454B8" w:rsidP="008454B8">
      <w:pPr>
        <w:autoSpaceDE w:val="0"/>
        <w:autoSpaceDN w:val="0"/>
        <w:adjustRightInd w:val="0"/>
        <w:rPr>
          <w:rFonts w:eastAsiaTheme="minorHAnsi" w:cstheme="minorHAnsi"/>
          <w:lang w:eastAsia="en-US"/>
        </w:rPr>
      </w:pPr>
      <w:r w:rsidRPr="00777583">
        <w:rPr>
          <w:rFonts w:eastAsiaTheme="minorHAnsi" w:cstheme="minorHAnsi"/>
          <w:lang w:eastAsia="en-US"/>
        </w:rPr>
        <w:t xml:space="preserve">A. </w:t>
      </w:r>
      <w:proofErr w:type="spellStart"/>
      <w:r w:rsidRPr="00777583">
        <w:rPr>
          <w:rFonts w:eastAsiaTheme="minorHAnsi" w:cstheme="minorHAnsi"/>
          <w:lang w:eastAsia="en-US"/>
        </w:rPr>
        <w:t>Romosozumab</w:t>
      </w:r>
      <w:proofErr w:type="spellEnd"/>
      <w:r w:rsidRPr="00777583">
        <w:rPr>
          <w:rFonts w:eastAsiaTheme="minorHAnsi" w:cstheme="minorHAnsi"/>
          <w:lang w:eastAsia="en-US"/>
        </w:rPr>
        <w:t xml:space="preserve"> </w:t>
      </w:r>
    </w:p>
    <w:p w14:paraId="06B11155" w14:textId="77777777" w:rsidR="008454B8" w:rsidRPr="00777583" w:rsidRDefault="008454B8" w:rsidP="008454B8">
      <w:pPr>
        <w:autoSpaceDE w:val="0"/>
        <w:autoSpaceDN w:val="0"/>
        <w:adjustRightInd w:val="0"/>
        <w:rPr>
          <w:rFonts w:eastAsiaTheme="minorHAnsi" w:cstheme="minorHAnsi"/>
          <w:lang w:eastAsia="en-US"/>
        </w:rPr>
      </w:pPr>
      <w:r w:rsidRPr="00777583">
        <w:rPr>
          <w:rFonts w:eastAsiaTheme="minorHAnsi" w:cstheme="minorHAnsi"/>
          <w:lang w:eastAsia="en-US"/>
        </w:rPr>
        <w:t xml:space="preserve">B. Testosterone </w:t>
      </w:r>
    </w:p>
    <w:p w14:paraId="51F28B39" w14:textId="0DE24BA0" w:rsidR="008454B8" w:rsidRPr="00777583" w:rsidRDefault="008454B8" w:rsidP="008454B8">
      <w:pPr>
        <w:rPr>
          <w:rFonts w:cstheme="minorHAnsi"/>
          <w:b/>
        </w:rPr>
      </w:pPr>
      <w:r w:rsidRPr="00777583">
        <w:rPr>
          <w:rFonts w:eastAsiaTheme="minorHAnsi" w:cstheme="minorHAnsi"/>
          <w:lang w:eastAsia="en-US"/>
        </w:rPr>
        <w:t>C. Zoledronic acid</w:t>
      </w:r>
    </w:p>
    <w:p w14:paraId="60D3DD07" w14:textId="77777777" w:rsidR="008454B8" w:rsidRPr="00777583" w:rsidRDefault="008454B8" w:rsidP="008454B8">
      <w:pPr>
        <w:rPr>
          <w:rFonts w:cstheme="minorHAnsi"/>
        </w:rPr>
      </w:pPr>
    </w:p>
    <w:p w14:paraId="04B536E5" w14:textId="77777777" w:rsidR="008454B8" w:rsidRPr="00777583" w:rsidRDefault="008454B8" w:rsidP="008454B8">
      <w:pPr>
        <w:rPr>
          <w:rFonts w:cstheme="minorHAnsi"/>
        </w:rPr>
      </w:pPr>
    </w:p>
    <w:p w14:paraId="3707B0C1" w14:textId="0F33F662" w:rsidR="008454B8" w:rsidRPr="00777583" w:rsidRDefault="008454B8" w:rsidP="008454B8">
      <w:pPr>
        <w:autoSpaceDE w:val="0"/>
        <w:autoSpaceDN w:val="0"/>
        <w:adjustRightInd w:val="0"/>
        <w:rPr>
          <w:rFonts w:eastAsiaTheme="minorHAnsi" w:cstheme="minorHAnsi"/>
          <w:b/>
          <w:bCs/>
          <w:lang w:eastAsia="en-US"/>
        </w:rPr>
      </w:pPr>
      <w:r w:rsidRPr="00777583">
        <w:rPr>
          <w:rFonts w:cstheme="minorHAnsi"/>
          <w:b/>
        </w:rPr>
        <w:lastRenderedPageBreak/>
        <w:t xml:space="preserve">5. A </w:t>
      </w:r>
      <w:r w:rsidRPr="00777583">
        <w:rPr>
          <w:rFonts w:eastAsiaTheme="minorHAnsi" w:cstheme="minorHAnsi"/>
          <w:b/>
          <w:bCs/>
          <w:lang w:eastAsia="en-US"/>
        </w:rPr>
        <w:t xml:space="preserve">72-year-old </w:t>
      </w:r>
      <w:r w:rsidR="007941C1">
        <w:rPr>
          <w:rFonts w:eastAsiaTheme="minorHAnsi" w:cstheme="minorHAnsi"/>
          <w:b/>
          <w:bCs/>
          <w:lang w:eastAsia="en-US"/>
        </w:rPr>
        <w:t>male</w:t>
      </w:r>
      <w:r w:rsidRPr="00777583">
        <w:rPr>
          <w:rFonts w:eastAsiaTheme="minorHAnsi" w:cstheme="minorHAnsi"/>
          <w:b/>
          <w:bCs/>
          <w:lang w:eastAsia="en-US"/>
        </w:rPr>
        <w:t xml:space="preserve"> completed a DXA and</w:t>
      </w:r>
      <w:r w:rsidRPr="00777583">
        <w:rPr>
          <w:rFonts w:cstheme="minorHAnsi"/>
          <w:b/>
          <w:bCs/>
        </w:rPr>
        <w:t xml:space="preserve"> the result </w:t>
      </w:r>
      <w:r w:rsidR="00EF6117">
        <w:rPr>
          <w:rFonts w:cstheme="minorHAnsi"/>
          <w:b/>
          <w:bCs/>
        </w:rPr>
        <w:t xml:space="preserve">indicates </w:t>
      </w:r>
      <w:r w:rsidRPr="00777583">
        <w:rPr>
          <w:rFonts w:cstheme="minorHAnsi"/>
          <w:b/>
          <w:bCs/>
        </w:rPr>
        <w:t>osteoporosis. Which of the following T-scores is classified as osteoporosis?</w:t>
      </w:r>
      <w:r w:rsidRPr="00777583">
        <w:rPr>
          <w:rFonts w:cstheme="minorHAnsi"/>
        </w:rPr>
        <w:t xml:space="preserve"> </w:t>
      </w:r>
    </w:p>
    <w:p w14:paraId="3D14B37B" w14:textId="77777777" w:rsidR="008454B8" w:rsidRPr="00777583" w:rsidRDefault="008454B8" w:rsidP="008454B8">
      <w:pPr>
        <w:rPr>
          <w:rFonts w:cstheme="minorHAnsi"/>
        </w:rPr>
      </w:pPr>
      <w:r w:rsidRPr="00777583">
        <w:rPr>
          <w:rFonts w:cstheme="minorHAnsi"/>
        </w:rPr>
        <w:t>A. -1.5</w:t>
      </w:r>
    </w:p>
    <w:p w14:paraId="5E364794" w14:textId="77777777" w:rsidR="008454B8" w:rsidRPr="00777583" w:rsidRDefault="008454B8" w:rsidP="008454B8">
      <w:pPr>
        <w:rPr>
          <w:rFonts w:cstheme="minorHAnsi"/>
        </w:rPr>
      </w:pPr>
      <w:r w:rsidRPr="00777583">
        <w:rPr>
          <w:rFonts w:cstheme="minorHAnsi"/>
        </w:rPr>
        <w:t>B. -2.0</w:t>
      </w:r>
    </w:p>
    <w:p w14:paraId="6364E70F" w14:textId="7504B49B" w:rsidR="008454B8" w:rsidRPr="00777583" w:rsidRDefault="008454B8" w:rsidP="008454B8">
      <w:pPr>
        <w:rPr>
          <w:rFonts w:cstheme="minorHAnsi"/>
        </w:rPr>
      </w:pPr>
      <w:r w:rsidRPr="00777583">
        <w:rPr>
          <w:rFonts w:cstheme="minorHAnsi"/>
        </w:rPr>
        <w:t>C. -2.6</w:t>
      </w:r>
    </w:p>
    <w:p w14:paraId="310112AD" w14:textId="77777777" w:rsidR="008454B8" w:rsidRPr="00777583" w:rsidRDefault="008454B8" w:rsidP="008454B8">
      <w:pPr>
        <w:rPr>
          <w:rFonts w:cstheme="minorHAnsi"/>
        </w:rPr>
      </w:pPr>
    </w:p>
    <w:p w14:paraId="4A6AB121" w14:textId="6FF794CA" w:rsidR="008454B8" w:rsidRPr="00777583" w:rsidRDefault="008454B8" w:rsidP="008454B8">
      <w:pPr>
        <w:rPr>
          <w:rFonts w:cstheme="minorHAnsi"/>
          <w:b/>
        </w:rPr>
      </w:pPr>
      <w:r w:rsidRPr="00777583">
        <w:rPr>
          <w:rFonts w:cstheme="minorHAnsi"/>
          <w:b/>
        </w:rPr>
        <w:t xml:space="preserve">6. A patient </w:t>
      </w:r>
      <w:r w:rsidR="00B238CE">
        <w:rPr>
          <w:rFonts w:cstheme="minorHAnsi"/>
          <w:b/>
        </w:rPr>
        <w:t>at</w:t>
      </w:r>
      <w:r w:rsidRPr="00777583">
        <w:rPr>
          <w:rFonts w:cstheme="minorHAnsi"/>
          <w:b/>
        </w:rPr>
        <w:t xml:space="preserve"> your community pharmacy shares with you that </w:t>
      </w:r>
      <w:r w:rsidR="00A979D9">
        <w:rPr>
          <w:rFonts w:cstheme="minorHAnsi"/>
          <w:b/>
        </w:rPr>
        <w:t xml:space="preserve">she will start </w:t>
      </w:r>
      <w:r w:rsidRPr="00777583">
        <w:rPr>
          <w:rFonts w:cstheme="minorHAnsi"/>
          <w:b/>
        </w:rPr>
        <w:t xml:space="preserve">denosumab therapy for osteoporosis treatment. Which of the following counseling points is most important for you to convey to promote adherence and efficacy?   </w:t>
      </w:r>
    </w:p>
    <w:p w14:paraId="7A1A0EC9" w14:textId="77777777" w:rsidR="008454B8" w:rsidRPr="00777583" w:rsidRDefault="008454B8" w:rsidP="008454B8">
      <w:pPr>
        <w:rPr>
          <w:rFonts w:cstheme="minorHAnsi"/>
        </w:rPr>
      </w:pPr>
      <w:r w:rsidRPr="00777583">
        <w:rPr>
          <w:rFonts w:cstheme="minorHAnsi"/>
        </w:rPr>
        <w:t xml:space="preserve">A. Denosumab is a cost-effective treatment. </w:t>
      </w:r>
    </w:p>
    <w:p w14:paraId="54B62004" w14:textId="2A327FBE" w:rsidR="008454B8" w:rsidRPr="00777583" w:rsidRDefault="008454B8" w:rsidP="008454B8">
      <w:pPr>
        <w:rPr>
          <w:rFonts w:cstheme="minorHAnsi"/>
        </w:rPr>
      </w:pPr>
      <w:r w:rsidRPr="00777583">
        <w:rPr>
          <w:rFonts w:cstheme="minorHAnsi"/>
        </w:rPr>
        <w:t xml:space="preserve">B. </w:t>
      </w:r>
      <w:r w:rsidR="00A979D9">
        <w:rPr>
          <w:rFonts w:cstheme="minorHAnsi"/>
        </w:rPr>
        <w:t>She shouldn’t delay d</w:t>
      </w:r>
      <w:r w:rsidRPr="00777583">
        <w:rPr>
          <w:rFonts w:cstheme="minorHAnsi"/>
        </w:rPr>
        <w:t>enosumab therapy.</w:t>
      </w:r>
    </w:p>
    <w:p w14:paraId="69F721FA" w14:textId="77777777" w:rsidR="008454B8" w:rsidRPr="00777583" w:rsidRDefault="008454B8" w:rsidP="008454B8">
      <w:pPr>
        <w:rPr>
          <w:rFonts w:cstheme="minorHAnsi"/>
        </w:rPr>
      </w:pPr>
      <w:r w:rsidRPr="00777583">
        <w:rPr>
          <w:rFonts w:cstheme="minorHAnsi"/>
        </w:rPr>
        <w:t xml:space="preserve">C. Denosumab is administered subcutaneously by a healthcare provider. </w:t>
      </w:r>
    </w:p>
    <w:p w14:paraId="48DF5C92" w14:textId="77777777" w:rsidR="008454B8" w:rsidRPr="00777583" w:rsidRDefault="008454B8" w:rsidP="008454B8">
      <w:pPr>
        <w:rPr>
          <w:rFonts w:cstheme="minorHAnsi"/>
        </w:rPr>
      </w:pPr>
    </w:p>
    <w:p w14:paraId="6AA94C8F" w14:textId="54D9EC3F" w:rsidR="008454B8" w:rsidRPr="00777583" w:rsidRDefault="008454B8" w:rsidP="008454B8">
      <w:pPr>
        <w:autoSpaceDE w:val="0"/>
        <w:autoSpaceDN w:val="0"/>
        <w:adjustRightInd w:val="0"/>
        <w:rPr>
          <w:rFonts w:eastAsiaTheme="minorHAnsi" w:cstheme="minorHAnsi"/>
          <w:lang w:eastAsia="en-US"/>
        </w:rPr>
      </w:pPr>
      <w:r w:rsidRPr="00777583">
        <w:rPr>
          <w:rFonts w:cstheme="minorHAnsi"/>
          <w:b/>
        </w:rPr>
        <w:t xml:space="preserve">7. </w:t>
      </w:r>
      <w:r w:rsidRPr="00777583">
        <w:rPr>
          <w:rFonts w:eastAsiaTheme="minorHAnsi" w:cstheme="minorHAnsi"/>
          <w:b/>
          <w:bCs/>
          <w:lang w:eastAsia="en-US"/>
        </w:rPr>
        <w:t xml:space="preserve">Which one of the following patients with osteoporosis is the </w:t>
      </w:r>
      <w:r w:rsidR="00A979D9" w:rsidRPr="00777583">
        <w:rPr>
          <w:rFonts w:eastAsiaTheme="minorHAnsi" w:cstheme="minorHAnsi"/>
          <w:b/>
          <w:bCs/>
          <w:lang w:eastAsia="en-US"/>
        </w:rPr>
        <w:t xml:space="preserve">Best </w:t>
      </w:r>
      <w:r w:rsidRPr="00777583">
        <w:rPr>
          <w:rFonts w:eastAsiaTheme="minorHAnsi" w:cstheme="minorHAnsi"/>
          <w:b/>
          <w:bCs/>
          <w:lang w:eastAsia="en-US"/>
        </w:rPr>
        <w:t xml:space="preserve">candidate for </w:t>
      </w:r>
      <w:proofErr w:type="spellStart"/>
      <w:r w:rsidRPr="00777583">
        <w:rPr>
          <w:rFonts w:eastAsiaTheme="minorHAnsi" w:cstheme="minorHAnsi"/>
          <w:b/>
          <w:bCs/>
          <w:lang w:eastAsia="en-US"/>
        </w:rPr>
        <w:t>romosozumab</w:t>
      </w:r>
      <w:proofErr w:type="spellEnd"/>
      <w:r w:rsidRPr="00777583">
        <w:rPr>
          <w:rFonts w:eastAsiaTheme="minorHAnsi" w:cstheme="minorHAnsi"/>
          <w:b/>
          <w:bCs/>
          <w:lang w:eastAsia="en-US"/>
        </w:rPr>
        <w:t>?</w:t>
      </w:r>
    </w:p>
    <w:p w14:paraId="7BEAFED6" w14:textId="19A1A259" w:rsidR="008454B8" w:rsidRPr="00777583" w:rsidRDefault="008454B8" w:rsidP="008454B8">
      <w:pPr>
        <w:autoSpaceDE w:val="0"/>
        <w:autoSpaceDN w:val="0"/>
        <w:adjustRightInd w:val="0"/>
        <w:rPr>
          <w:rFonts w:eastAsiaTheme="minorHAnsi" w:cstheme="minorHAnsi"/>
          <w:lang w:eastAsia="en-US"/>
        </w:rPr>
      </w:pPr>
      <w:r w:rsidRPr="00777583">
        <w:rPr>
          <w:rFonts w:eastAsiaTheme="minorHAnsi" w:cstheme="minorHAnsi"/>
          <w:lang w:eastAsia="en-US"/>
        </w:rPr>
        <w:t xml:space="preserve">A. 65-year-old </w:t>
      </w:r>
      <w:r w:rsidR="007941C1">
        <w:rPr>
          <w:rFonts w:eastAsiaTheme="minorHAnsi" w:cstheme="minorHAnsi"/>
          <w:lang w:eastAsia="en-US"/>
        </w:rPr>
        <w:t>female</w:t>
      </w:r>
      <w:r w:rsidRPr="00777583">
        <w:rPr>
          <w:rFonts w:eastAsiaTheme="minorHAnsi" w:cstheme="minorHAnsi"/>
          <w:lang w:eastAsia="en-US"/>
        </w:rPr>
        <w:t xml:space="preserve"> with a very high risk of fracture who has hypertension.</w:t>
      </w:r>
    </w:p>
    <w:p w14:paraId="013F3F5F" w14:textId="3A640654" w:rsidR="008454B8" w:rsidRPr="00777583" w:rsidRDefault="008454B8" w:rsidP="008454B8">
      <w:pPr>
        <w:autoSpaceDE w:val="0"/>
        <w:autoSpaceDN w:val="0"/>
        <w:adjustRightInd w:val="0"/>
        <w:rPr>
          <w:rFonts w:eastAsiaTheme="minorHAnsi" w:cstheme="minorHAnsi"/>
          <w:lang w:eastAsia="en-US"/>
        </w:rPr>
      </w:pPr>
      <w:r w:rsidRPr="00777583">
        <w:rPr>
          <w:rFonts w:eastAsiaTheme="minorHAnsi" w:cstheme="minorHAnsi"/>
          <w:lang w:eastAsia="en-US"/>
        </w:rPr>
        <w:t xml:space="preserve">B. 75-year-old </w:t>
      </w:r>
      <w:r w:rsidR="007941C1">
        <w:rPr>
          <w:rFonts w:eastAsiaTheme="minorHAnsi" w:cstheme="minorHAnsi"/>
          <w:lang w:eastAsia="en-US"/>
        </w:rPr>
        <w:t>male</w:t>
      </w:r>
      <w:r w:rsidRPr="00777583">
        <w:rPr>
          <w:rFonts w:eastAsiaTheme="minorHAnsi" w:cstheme="minorHAnsi"/>
          <w:lang w:eastAsia="en-US"/>
        </w:rPr>
        <w:t xml:space="preserve"> with a very high risk of fracture who has hypothyroidism.</w:t>
      </w:r>
    </w:p>
    <w:p w14:paraId="726EDB14" w14:textId="3EAF4587" w:rsidR="008454B8" w:rsidRPr="00777583" w:rsidRDefault="008454B8" w:rsidP="008454B8">
      <w:pPr>
        <w:autoSpaceDE w:val="0"/>
        <w:autoSpaceDN w:val="0"/>
        <w:adjustRightInd w:val="0"/>
        <w:rPr>
          <w:rFonts w:eastAsiaTheme="minorHAnsi" w:cstheme="minorHAnsi"/>
          <w:lang w:eastAsia="en-US"/>
        </w:rPr>
      </w:pPr>
      <w:r w:rsidRPr="00777583">
        <w:rPr>
          <w:rFonts w:eastAsiaTheme="minorHAnsi" w:cstheme="minorHAnsi"/>
          <w:lang w:eastAsia="en-US"/>
        </w:rPr>
        <w:t xml:space="preserve">C. 67-year-old </w:t>
      </w:r>
      <w:r w:rsidR="007941C1">
        <w:rPr>
          <w:rFonts w:eastAsiaTheme="minorHAnsi" w:cstheme="minorHAnsi"/>
          <w:lang w:eastAsia="en-US"/>
        </w:rPr>
        <w:t>female</w:t>
      </w:r>
      <w:r w:rsidRPr="00777583">
        <w:rPr>
          <w:rFonts w:eastAsiaTheme="minorHAnsi" w:cstheme="minorHAnsi"/>
          <w:lang w:eastAsia="en-US"/>
        </w:rPr>
        <w:t xml:space="preserve"> with a high risk of fracture who had a stroke 6 months ago.</w:t>
      </w:r>
    </w:p>
    <w:p w14:paraId="21D7779E" w14:textId="77777777" w:rsidR="008454B8" w:rsidRPr="00777583" w:rsidRDefault="008454B8" w:rsidP="008454B8">
      <w:pPr>
        <w:rPr>
          <w:rFonts w:cstheme="minorHAnsi"/>
        </w:rPr>
      </w:pPr>
    </w:p>
    <w:p w14:paraId="2BC4C273" w14:textId="763D73B5" w:rsidR="008454B8" w:rsidRPr="00777583" w:rsidRDefault="008454B8" w:rsidP="008454B8">
      <w:pPr>
        <w:rPr>
          <w:rFonts w:cstheme="minorHAnsi"/>
          <w:b/>
          <w:bCs/>
        </w:rPr>
      </w:pPr>
      <w:r w:rsidRPr="00777583">
        <w:rPr>
          <w:rFonts w:cstheme="minorHAnsi"/>
          <w:b/>
        </w:rPr>
        <w:t xml:space="preserve">8. </w:t>
      </w:r>
      <w:r w:rsidRPr="00777583">
        <w:rPr>
          <w:rFonts w:cstheme="minorHAnsi"/>
          <w:b/>
          <w:bCs/>
        </w:rPr>
        <w:t xml:space="preserve">A </w:t>
      </w:r>
      <w:r w:rsidR="00D816C1" w:rsidRPr="00777583">
        <w:rPr>
          <w:rFonts w:cstheme="minorHAnsi"/>
          <w:b/>
          <w:bCs/>
        </w:rPr>
        <w:t>58-year-old</w:t>
      </w:r>
      <w:r w:rsidRPr="00777583">
        <w:rPr>
          <w:rFonts w:cstheme="minorHAnsi"/>
          <w:b/>
          <w:bCs/>
        </w:rPr>
        <w:t xml:space="preserve"> Asian female (height 62 inches, weight 135 pounds, BMI 24.7 kg/m</w:t>
      </w:r>
      <w:r w:rsidRPr="00777583">
        <w:rPr>
          <w:rFonts w:cstheme="minorHAnsi"/>
          <w:b/>
          <w:bCs/>
          <w:vertAlign w:val="superscript"/>
        </w:rPr>
        <w:t>2</w:t>
      </w:r>
      <w:r w:rsidRPr="00777583">
        <w:rPr>
          <w:rFonts w:cstheme="minorHAnsi"/>
          <w:b/>
          <w:bCs/>
        </w:rPr>
        <w:t xml:space="preserve">) presents to the primary care clinic for her annual wellness visit. Her family history is significant for osteoporosis (mother), COPD (father), and hypertension (mother and father). Her last menstrual period was at age 52. She drinks </w:t>
      </w:r>
      <w:r w:rsidR="00EC0AAC">
        <w:rPr>
          <w:rFonts w:cstheme="minorHAnsi"/>
          <w:b/>
          <w:bCs/>
        </w:rPr>
        <w:t>one</w:t>
      </w:r>
      <w:r w:rsidR="00EC0AAC" w:rsidRPr="00777583">
        <w:rPr>
          <w:rFonts w:cstheme="minorHAnsi"/>
          <w:b/>
          <w:bCs/>
        </w:rPr>
        <w:t xml:space="preserve"> </w:t>
      </w:r>
      <w:r w:rsidRPr="00777583">
        <w:rPr>
          <w:rFonts w:cstheme="minorHAnsi"/>
          <w:b/>
          <w:bCs/>
        </w:rPr>
        <w:t>glass of wine a few times a week and quit using tobacco 12 years ago. She walks for 20 minutes daily and follows the DASH diet closely. Her past medical history includes rheumatoid arthritis and hypertension. How many risk factors does this patient has for osteoporosis?</w:t>
      </w:r>
    </w:p>
    <w:p w14:paraId="4748DBB7" w14:textId="5781B90A" w:rsidR="008454B8" w:rsidRPr="00777583" w:rsidRDefault="00D84A28" w:rsidP="008454B8">
      <w:pPr>
        <w:pStyle w:val="ListParagraph"/>
        <w:numPr>
          <w:ilvl w:val="0"/>
          <w:numId w:val="24"/>
        </w:numPr>
        <w:spacing w:after="0" w:line="240" w:lineRule="auto"/>
        <w:rPr>
          <w:rFonts w:cstheme="minorHAnsi"/>
          <w:sz w:val="24"/>
          <w:szCs w:val="24"/>
        </w:rPr>
      </w:pPr>
      <w:r>
        <w:rPr>
          <w:rFonts w:cstheme="minorHAnsi"/>
          <w:sz w:val="24"/>
          <w:szCs w:val="24"/>
        </w:rPr>
        <w:t>3</w:t>
      </w:r>
    </w:p>
    <w:p w14:paraId="17949866" w14:textId="341F5117" w:rsidR="008454B8" w:rsidRDefault="008454B8" w:rsidP="008454B8">
      <w:pPr>
        <w:pStyle w:val="ListParagraph"/>
        <w:numPr>
          <w:ilvl w:val="0"/>
          <w:numId w:val="24"/>
        </w:numPr>
        <w:spacing w:after="0" w:line="240" w:lineRule="auto"/>
        <w:rPr>
          <w:rFonts w:cstheme="minorHAnsi"/>
          <w:sz w:val="24"/>
          <w:szCs w:val="24"/>
        </w:rPr>
      </w:pPr>
      <w:r w:rsidRPr="00777583">
        <w:rPr>
          <w:rFonts w:cstheme="minorHAnsi"/>
          <w:sz w:val="24"/>
          <w:szCs w:val="24"/>
        </w:rPr>
        <w:t>6</w:t>
      </w:r>
    </w:p>
    <w:p w14:paraId="360F4A55" w14:textId="03A3605F" w:rsidR="00194FF4" w:rsidRPr="00777583" w:rsidRDefault="00194FF4" w:rsidP="008454B8">
      <w:pPr>
        <w:pStyle w:val="ListParagraph"/>
        <w:numPr>
          <w:ilvl w:val="0"/>
          <w:numId w:val="24"/>
        </w:numPr>
        <w:spacing w:after="0" w:line="240" w:lineRule="auto"/>
        <w:rPr>
          <w:rFonts w:cstheme="minorHAnsi"/>
          <w:sz w:val="24"/>
          <w:szCs w:val="24"/>
        </w:rPr>
      </w:pPr>
      <w:r>
        <w:rPr>
          <w:rFonts w:cstheme="minorHAnsi"/>
          <w:sz w:val="24"/>
          <w:szCs w:val="24"/>
        </w:rPr>
        <w:t>8</w:t>
      </w:r>
    </w:p>
    <w:p w14:paraId="3AA73BE0" w14:textId="77777777" w:rsidR="008454B8" w:rsidRPr="00777583" w:rsidRDefault="008454B8" w:rsidP="008454B8">
      <w:pPr>
        <w:rPr>
          <w:rFonts w:cstheme="minorHAnsi"/>
        </w:rPr>
      </w:pPr>
    </w:p>
    <w:p w14:paraId="685113BD" w14:textId="2AC72538" w:rsidR="008454B8" w:rsidRPr="00777583" w:rsidRDefault="008454B8" w:rsidP="008454B8">
      <w:pPr>
        <w:rPr>
          <w:rFonts w:cstheme="minorHAnsi"/>
        </w:rPr>
      </w:pPr>
      <w:r w:rsidRPr="00777583">
        <w:rPr>
          <w:rFonts w:cstheme="minorHAnsi"/>
          <w:b/>
        </w:rPr>
        <w:t xml:space="preserve">9. </w:t>
      </w:r>
      <w:r w:rsidRPr="00777583">
        <w:rPr>
          <w:rFonts w:cstheme="minorHAnsi"/>
          <w:b/>
          <w:bCs/>
        </w:rPr>
        <w:t xml:space="preserve">A 62-year-old female presents to your osteoporosis pharmacotherapy clinic today. She had several vertebral fractures in the past and has been receiving </w:t>
      </w:r>
      <w:proofErr w:type="spellStart"/>
      <w:r w:rsidRPr="00777583">
        <w:rPr>
          <w:rFonts w:cstheme="minorHAnsi"/>
          <w:b/>
          <w:bCs/>
        </w:rPr>
        <w:t>romosozumab</w:t>
      </w:r>
      <w:proofErr w:type="spellEnd"/>
      <w:r w:rsidRPr="00777583">
        <w:rPr>
          <w:rFonts w:cstheme="minorHAnsi"/>
          <w:b/>
          <w:bCs/>
        </w:rPr>
        <w:t xml:space="preserve"> 210 mg monthly for the past 12 months. She had a repeat DXA last week, which revealed improved bone mineral density from her DXA </w:t>
      </w:r>
      <w:r w:rsidR="00EC0AAC">
        <w:rPr>
          <w:rFonts w:cstheme="minorHAnsi"/>
          <w:b/>
          <w:bCs/>
        </w:rPr>
        <w:t>one</w:t>
      </w:r>
      <w:r w:rsidR="00EC0AAC" w:rsidRPr="00777583">
        <w:rPr>
          <w:rFonts w:cstheme="minorHAnsi"/>
          <w:b/>
          <w:bCs/>
        </w:rPr>
        <w:t xml:space="preserve"> </w:t>
      </w:r>
      <w:r w:rsidRPr="00777583">
        <w:rPr>
          <w:rFonts w:cstheme="minorHAnsi"/>
          <w:b/>
          <w:bCs/>
        </w:rPr>
        <w:t>year ago. Her renal function, calcium, and vitamin D levels are all appropriate for her age. Which one of the following is best to recommend for this patient?</w:t>
      </w:r>
    </w:p>
    <w:p w14:paraId="096F38AB" w14:textId="77777777" w:rsidR="008454B8" w:rsidRPr="00777583" w:rsidRDefault="008454B8" w:rsidP="008454B8">
      <w:pPr>
        <w:pStyle w:val="ListParagraph"/>
        <w:numPr>
          <w:ilvl w:val="0"/>
          <w:numId w:val="25"/>
        </w:numPr>
        <w:spacing w:after="0" w:line="240" w:lineRule="auto"/>
        <w:rPr>
          <w:rFonts w:cstheme="minorHAnsi"/>
          <w:sz w:val="24"/>
          <w:szCs w:val="24"/>
        </w:rPr>
      </w:pPr>
      <w:r w:rsidRPr="00777583">
        <w:rPr>
          <w:rFonts w:cstheme="minorHAnsi"/>
          <w:sz w:val="24"/>
          <w:szCs w:val="24"/>
        </w:rPr>
        <w:t xml:space="preserve">Continue </w:t>
      </w:r>
      <w:proofErr w:type="spellStart"/>
      <w:r w:rsidRPr="00777583">
        <w:rPr>
          <w:rFonts w:cstheme="minorHAnsi"/>
          <w:sz w:val="24"/>
          <w:szCs w:val="24"/>
        </w:rPr>
        <w:t>romosozumab</w:t>
      </w:r>
      <w:proofErr w:type="spellEnd"/>
      <w:r w:rsidRPr="00777583">
        <w:rPr>
          <w:rFonts w:cstheme="minorHAnsi"/>
          <w:sz w:val="24"/>
          <w:szCs w:val="24"/>
        </w:rPr>
        <w:t xml:space="preserve"> as monotherapy for an additional 12 months.</w:t>
      </w:r>
    </w:p>
    <w:p w14:paraId="0ADDA708" w14:textId="3E5D046F" w:rsidR="008454B8" w:rsidRPr="00777583" w:rsidRDefault="008454B8" w:rsidP="008454B8">
      <w:pPr>
        <w:pStyle w:val="ListParagraph"/>
        <w:numPr>
          <w:ilvl w:val="0"/>
          <w:numId w:val="25"/>
        </w:numPr>
        <w:spacing w:after="0" w:line="240" w:lineRule="auto"/>
        <w:rPr>
          <w:rFonts w:cstheme="minorHAnsi"/>
          <w:sz w:val="24"/>
          <w:szCs w:val="24"/>
        </w:rPr>
      </w:pPr>
      <w:r w:rsidRPr="00777583">
        <w:rPr>
          <w:rFonts w:cstheme="minorHAnsi"/>
          <w:sz w:val="24"/>
          <w:szCs w:val="24"/>
        </w:rPr>
        <w:t xml:space="preserve">Discontinue </w:t>
      </w:r>
      <w:proofErr w:type="spellStart"/>
      <w:r w:rsidRPr="00777583">
        <w:rPr>
          <w:rFonts w:cstheme="minorHAnsi"/>
          <w:sz w:val="24"/>
          <w:szCs w:val="24"/>
        </w:rPr>
        <w:t>romosozumab</w:t>
      </w:r>
      <w:proofErr w:type="spellEnd"/>
      <w:r w:rsidRPr="00777583">
        <w:rPr>
          <w:rFonts w:cstheme="minorHAnsi"/>
          <w:sz w:val="24"/>
          <w:szCs w:val="24"/>
        </w:rPr>
        <w:t xml:space="preserve"> and initiate alendronate 70 mg PO weekly.</w:t>
      </w:r>
    </w:p>
    <w:p w14:paraId="745D8624" w14:textId="77777777" w:rsidR="008454B8" w:rsidRPr="00777583" w:rsidRDefault="008454B8" w:rsidP="008454B8">
      <w:pPr>
        <w:pStyle w:val="ListParagraph"/>
        <w:numPr>
          <w:ilvl w:val="0"/>
          <w:numId w:val="25"/>
        </w:numPr>
        <w:spacing w:after="0" w:line="240" w:lineRule="auto"/>
        <w:rPr>
          <w:rFonts w:cstheme="minorHAnsi"/>
          <w:sz w:val="24"/>
          <w:szCs w:val="24"/>
        </w:rPr>
      </w:pPr>
      <w:r w:rsidRPr="00777583">
        <w:rPr>
          <w:rFonts w:cstheme="minorHAnsi"/>
          <w:sz w:val="24"/>
          <w:szCs w:val="24"/>
        </w:rPr>
        <w:t xml:space="preserve">Discontinue </w:t>
      </w:r>
      <w:proofErr w:type="spellStart"/>
      <w:r w:rsidRPr="00777583">
        <w:rPr>
          <w:rFonts w:cstheme="minorHAnsi"/>
          <w:sz w:val="24"/>
          <w:szCs w:val="24"/>
        </w:rPr>
        <w:t>romosozumab</w:t>
      </w:r>
      <w:proofErr w:type="spellEnd"/>
      <w:r w:rsidRPr="00777583">
        <w:rPr>
          <w:rFonts w:cstheme="minorHAnsi"/>
          <w:sz w:val="24"/>
          <w:szCs w:val="24"/>
        </w:rPr>
        <w:t xml:space="preserve"> and initiate calcium carbonate 600 mg and vitamin D 400 international units (combination tablet) 1 tablet PO twice daily.</w:t>
      </w:r>
    </w:p>
    <w:p w14:paraId="10D743A7" w14:textId="77777777" w:rsidR="008454B8" w:rsidRPr="00777583" w:rsidRDefault="008454B8" w:rsidP="008454B8">
      <w:pPr>
        <w:rPr>
          <w:rFonts w:cstheme="minorHAnsi"/>
        </w:rPr>
      </w:pPr>
      <w:bookmarkStart w:id="0" w:name="_GoBack"/>
      <w:bookmarkEnd w:id="0"/>
    </w:p>
    <w:p w14:paraId="2D4B05FB" w14:textId="3CF8E254" w:rsidR="008454B8" w:rsidRPr="00777583" w:rsidRDefault="008454B8" w:rsidP="008454B8">
      <w:pPr>
        <w:rPr>
          <w:rFonts w:cstheme="minorHAnsi"/>
          <w:b/>
        </w:rPr>
      </w:pPr>
      <w:r w:rsidRPr="00777583">
        <w:rPr>
          <w:rFonts w:cstheme="minorHAnsi"/>
          <w:b/>
        </w:rPr>
        <w:t xml:space="preserve">10. A patient starting an oral bisphosphonate voices concern to you about “jaw issues.” Which of the following is </w:t>
      </w:r>
      <w:r w:rsidR="00831425">
        <w:rPr>
          <w:rFonts w:cstheme="minorHAnsi"/>
          <w:b/>
        </w:rPr>
        <w:t xml:space="preserve">the </w:t>
      </w:r>
      <w:r w:rsidR="00E04C03" w:rsidRPr="00777583">
        <w:rPr>
          <w:rFonts w:cstheme="minorHAnsi"/>
          <w:b/>
        </w:rPr>
        <w:t xml:space="preserve">BEST </w:t>
      </w:r>
      <w:r w:rsidR="00831425" w:rsidRPr="00777583">
        <w:rPr>
          <w:rFonts w:cstheme="minorHAnsi"/>
          <w:b/>
        </w:rPr>
        <w:t>response</w:t>
      </w:r>
      <w:r w:rsidRPr="00777583">
        <w:rPr>
          <w:rFonts w:cstheme="minorHAnsi"/>
          <w:b/>
        </w:rPr>
        <w:t>?</w:t>
      </w:r>
    </w:p>
    <w:p w14:paraId="32313D62" w14:textId="77777777" w:rsidR="008454B8" w:rsidRPr="00777583" w:rsidRDefault="008454B8" w:rsidP="008454B8">
      <w:pPr>
        <w:rPr>
          <w:rFonts w:cstheme="minorHAnsi"/>
        </w:rPr>
      </w:pPr>
      <w:r w:rsidRPr="00777583">
        <w:rPr>
          <w:rFonts w:cstheme="minorHAnsi"/>
        </w:rPr>
        <w:t>A. “I don’t think you should take this medication.”</w:t>
      </w:r>
    </w:p>
    <w:p w14:paraId="260CB238" w14:textId="34216E32" w:rsidR="008454B8" w:rsidRPr="00777583" w:rsidRDefault="008454B8" w:rsidP="008454B8">
      <w:pPr>
        <w:rPr>
          <w:rFonts w:cstheme="minorHAnsi"/>
        </w:rPr>
      </w:pPr>
      <w:r w:rsidRPr="00777583">
        <w:rPr>
          <w:rFonts w:cstheme="minorHAnsi"/>
        </w:rPr>
        <w:lastRenderedPageBreak/>
        <w:t>B. “Don’t worry, ‘jaw issues’ are so rare.”</w:t>
      </w:r>
    </w:p>
    <w:p w14:paraId="501DCB1C" w14:textId="4F310329" w:rsidR="008454B8" w:rsidRPr="00777583" w:rsidRDefault="008454B8" w:rsidP="008454B8">
      <w:pPr>
        <w:rPr>
          <w:rFonts w:cstheme="minorHAnsi"/>
        </w:rPr>
      </w:pPr>
      <w:r w:rsidRPr="00777583">
        <w:rPr>
          <w:rFonts w:cstheme="minorHAnsi"/>
        </w:rPr>
        <w:t>C. “Let’s talk more about your concern.</w:t>
      </w:r>
      <w:r w:rsidR="00575CAF">
        <w:rPr>
          <w:rFonts w:cstheme="minorHAnsi"/>
        </w:rPr>
        <w:t>”</w:t>
      </w:r>
    </w:p>
    <w:p w14:paraId="55130F33" w14:textId="77777777" w:rsidR="008454B8" w:rsidRPr="00777583" w:rsidRDefault="008454B8" w:rsidP="008454B8">
      <w:pPr>
        <w:rPr>
          <w:rFonts w:cstheme="minorHAnsi"/>
        </w:rPr>
      </w:pPr>
    </w:p>
    <w:p w14:paraId="49B7B32B" w14:textId="77777777" w:rsidR="008454B8" w:rsidRPr="00777583" w:rsidRDefault="008454B8">
      <w:pPr>
        <w:spacing w:after="200" w:line="276" w:lineRule="auto"/>
        <w:rPr>
          <w:rFonts w:eastAsia="Times New Roman" w:cstheme="minorHAnsi"/>
          <w:b/>
          <w:bCs/>
          <w:color w:val="000000"/>
        </w:rPr>
      </w:pPr>
      <w:r w:rsidRPr="00777583">
        <w:rPr>
          <w:rFonts w:eastAsia="Times New Roman" w:cstheme="minorHAnsi"/>
          <w:b/>
          <w:bCs/>
          <w:color w:val="000000"/>
        </w:rPr>
        <w:br w:type="page"/>
      </w:r>
    </w:p>
    <w:sectPr w:rsidR="008454B8" w:rsidRPr="00777583" w:rsidSect="00E1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299"/>
    <w:multiLevelType w:val="multilevel"/>
    <w:tmpl w:val="340C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13B82"/>
    <w:multiLevelType w:val="hybridMultilevel"/>
    <w:tmpl w:val="CF4E5E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3424B"/>
    <w:multiLevelType w:val="hybridMultilevel"/>
    <w:tmpl w:val="09A66C5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F3BEE"/>
    <w:multiLevelType w:val="hybridMultilevel"/>
    <w:tmpl w:val="9C1A22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45D7"/>
    <w:multiLevelType w:val="hybridMultilevel"/>
    <w:tmpl w:val="A760AC3A"/>
    <w:lvl w:ilvl="0" w:tplc="E2CC59E8">
      <w:start w:val="1"/>
      <w:numFmt w:val="upperLetter"/>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4676E"/>
    <w:multiLevelType w:val="hybridMultilevel"/>
    <w:tmpl w:val="4C0E2E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5707D6"/>
    <w:multiLevelType w:val="hybridMultilevel"/>
    <w:tmpl w:val="774E5FF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27A34623"/>
    <w:multiLevelType w:val="hybridMultilevel"/>
    <w:tmpl w:val="04C204E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D665D"/>
    <w:multiLevelType w:val="hybridMultilevel"/>
    <w:tmpl w:val="8616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F7BA7"/>
    <w:multiLevelType w:val="hybridMultilevel"/>
    <w:tmpl w:val="FC68E84C"/>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1D11B8"/>
    <w:multiLevelType w:val="hybridMultilevel"/>
    <w:tmpl w:val="629C838C"/>
    <w:lvl w:ilvl="0" w:tplc="0409000F">
      <w:start w:val="1"/>
      <w:numFmt w:val="decimal"/>
      <w:lvlText w:val="%1."/>
      <w:lvlJc w:val="left"/>
      <w:pPr>
        <w:ind w:left="720" w:hanging="360"/>
      </w:pPr>
    </w:lvl>
    <w:lvl w:ilvl="1" w:tplc="2098C952">
      <w:start w:val="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22A1F"/>
    <w:multiLevelType w:val="hybridMultilevel"/>
    <w:tmpl w:val="5F58164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FB0313"/>
    <w:multiLevelType w:val="hybridMultilevel"/>
    <w:tmpl w:val="774E6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A72A7"/>
    <w:multiLevelType w:val="hybridMultilevel"/>
    <w:tmpl w:val="9C4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824E5"/>
    <w:multiLevelType w:val="hybridMultilevel"/>
    <w:tmpl w:val="A9DAAA92"/>
    <w:lvl w:ilvl="0" w:tplc="D2FED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582A3E"/>
    <w:multiLevelType w:val="hybridMultilevel"/>
    <w:tmpl w:val="6F8E3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E7442"/>
    <w:multiLevelType w:val="hybridMultilevel"/>
    <w:tmpl w:val="ABECEB4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FB4105F"/>
    <w:multiLevelType w:val="hybridMultilevel"/>
    <w:tmpl w:val="594C2E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F0B86"/>
    <w:multiLevelType w:val="hybridMultilevel"/>
    <w:tmpl w:val="F7866EFC"/>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6520CC"/>
    <w:multiLevelType w:val="hybridMultilevel"/>
    <w:tmpl w:val="22428F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B1DDC"/>
    <w:multiLevelType w:val="hybridMultilevel"/>
    <w:tmpl w:val="7D9EAB4C"/>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112269"/>
    <w:multiLevelType w:val="hybridMultilevel"/>
    <w:tmpl w:val="FCFE481C"/>
    <w:lvl w:ilvl="0" w:tplc="D87E0BAE">
      <w:start w:val="1"/>
      <w:numFmt w:val="upperLetter"/>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FD1BC9"/>
    <w:multiLevelType w:val="hybridMultilevel"/>
    <w:tmpl w:val="48F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3155A"/>
    <w:multiLevelType w:val="multilevel"/>
    <w:tmpl w:val="64C8CD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42E30D4"/>
    <w:multiLevelType w:val="hybridMultilevel"/>
    <w:tmpl w:val="047A1C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CE5B22"/>
    <w:multiLevelType w:val="hybridMultilevel"/>
    <w:tmpl w:val="BA167FC6"/>
    <w:lvl w:ilvl="0" w:tplc="BDF27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BC3DC8"/>
    <w:multiLevelType w:val="hybridMultilevel"/>
    <w:tmpl w:val="6F266C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8F4AEC"/>
    <w:multiLevelType w:val="hybridMultilevel"/>
    <w:tmpl w:val="01ACA4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4D4BA0"/>
    <w:multiLevelType w:val="hybridMultilevel"/>
    <w:tmpl w:val="EA207E9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EE69AC"/>
    <w:multiLevelType w:val="hybridMultilevel"/>
    <w:tmpl w:val="F4A282F8"/>
    <w:lvl w:ilvl="0" w:tplc="CCBA9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506B86"/>
    <w:multiLevelType w:val="hybridMultilevel"/>
    <w:tmpl w:val="A3E65D9C"/>
    <w:lvl w:ilvl="0" w:tplc="5F0A5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CA2616"/>
    <w:multiLevelType w:val="hybridMultilevel"/>
    <w:tmpl w:val="8D5099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815F8"/>
    <w:multiLevelType w:val="hybridMultilevel"/>
    <w:tmpl w:val="062059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1536A5"/>
    <w:multiLevelType w:val="multilevel"/>
    <w:tmpl w:val="16ECA9E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0E2B02"/>
    <w:multiLevelType w:val="hybridMultilevel"/>
    <w:tmpl w:val="4DD6833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12"/>
  </w:num>
  <w:num w:numId="4">
    <w:abstractNumId w:val="29"/>
  </w:num>
  <w:num w:numId="5">
    <w:abstractNumId w:val="3"/>
  </w:num>
  <w:num w:numId="6">
    <w:abstractNumId w:val="17"/>
  </w:num>
  <w:num w:numId="7">
    <w:abstractNumId w:val="27"/>
  </w:num>
  <w:num w:numId="8">
    <w:abstractNumId w:val="25"/>
  </w:num>
  <w:num w:numId="9">
    <w:abstractNumId w:val="16"/>
  </w:num>
  <w:num w:numId="10">
    <w:abstractNumId w:val="15"/>
  </w:num>
  <w:num w:numId="11">
    <w:abstractNumId w:val="32"/>
  </w:num>
  <w:num w:numId="12">
    <w:abstractNumId w:val="30"/>
  </w:num>
  <w:num w:numId="13">
    <w:abstractNumId w:val="23"/>
  </w:num>
  <w:num w:numId="14">
    <w:abstractNumId w:val="10"/>
  </w:num>
  <w:num w:numId="15">
    <w:abstractNumId w:val="22"/>
  </w:num>
  <w:num w:numId="16">
    <w:abstractNumId w:val="33"/>
  </w:num>
  <w:num w:numId="17">
    <w:abstractNumId w:val="0"/>
  </w:num>
  <w:num w:numId="18">
    <w:abstractNumId w:val="18"/>
  </w:num>
  <w:num w:numId="19">
    <w:abstractNumId w:val="9"/>
  </w:num>
  <w:num w:numId="20">
    <w:abstractNumId w:val="13"/>
  </w:num>
  <w:num w:numId="21">
    <w:abstractNumId w:val="20"/>
  </w:num>
  <w:num w:numId="22">
    <w:abstractNumId w:val="8"/>
  </w:num>
  <w:num w:numId="23">
    <w:abstractNumId w:val="5"/>
  </w:num>
  <w:num w:numId="24">
    <w:abstractNumId w:val="2"/>
  </w:num>
  <w:num w:numId="25">
    <w:abstractNumId w:val="24"/>
  </w:num>
  <w:num w:numId="26">
    <w:abstractNumId w:val="19"/>
  </w:num>
  <w:num w:numId="27">
    <w:abstractNumId w:val="7"/>
  </w:num>
  <w:num w:numId="28">
    <w:abstractNumId w:val="11"/>
  </w:num>
  <w:num w:numId="29">
    <w:abstractNumId w:val="21"/>
  </w:num>
  <w:num w:numId="30">
    <w:abstractNumId w:val="6"/>
  </w:num>
  <w:num w:numId="31">
    <w:abstractNumId w:val="28"/>
  </w:num>
  <w:num w:numId="32">
    <w:abstractNumId w:val="31"/>
  </w:num>
  <w:num w:numId="33">
    <w:abstractNumId w:val="4"/>
  </w:num>
  <w:num w:numId="34">
    <w:abstractNumId w:val="3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07D7A3-5169-4528-8EFE-79DEBE1E4B43}"/>
    <w:docVar w:name="dgnword-eventsink" w:val="211827040"/>
  </w:docVars>
  <w:rsids>
    <w:rsidRoot w:val="000D7C3F"/>
    <w:rsid w:val="00010575"/>
    <w:rsid w:val="00031A59"/>
    <w:rsid w:val="00033FE1"/>
    <w:rsid w:val="00061D59"/>
    <w:rsid w:val="000751B3"/>
    <w:rsid w:val="000A2222"/>
    <w:rsid w:val="000D7C3F"/>
    <w:rsid w:val="000E0643"/>
    <w:rsid w:val="00131461"/>
    <w:rsid w:val="00136933"/>
    <w:rsid w:val="00143E81"/>
    <w:rsid w:val="00154D19"/>
    <w:rsid w:val="0017213D"/>
    <w:rsid w:val="00194FF4"/>
    <w:rsid w:val="001F4414"/>
    <w:rsid w:val="0023186B"/>
    <w:rsid w:val="0023391C"/>
    <w:rsid w:val="00234607"/>
    <w:rsid w:val="0025576F"/>
    <w:rsid w:val="002674B1"/>
    <w:rsid w:val="0029671D"/>
    <w:rsid w:val="002A6B10"/>
    <w:rsid w:val="002C0C5A"/>
    <w:rsid w:val="002D3560"/>
    <w:rsid w:val="00310FB0"/>
    <w:rsid w:val="00313CA1"/>
    <w:rsid w:val="003205E6"/>
    <w:rsid w:val="00333F08"/>
    <w:rsid w:val="003370EF"/>
    <w:rsid w:val="00347C57"/>
    <w:rsid w:val="00376D0C"/>
    <w:rsid w:val="00377365"/>
    <w:rsid w:val="00383F1F"/>
    <w:rsid w:val="00394DD3"/>
    <w:rsid w:val="003A5F03"/>
    <w:rsid w:val="003A6493"/>
    <w:rsid w:val="003A64EB"/>
    <w:rsid w:val="003C30BC"/>
    <w:rsid w:val="003D4B88"/>
    <w:rsid w:val="003F6E14"/>
    <w:rsid w:val="00422D78"/>
    <w:rsid w:val="00451336"/>
    <w:rsid w:val="00457389"/>
    <w:rsid w:val="00470134"/>
    <w:rsid w:val="00486B5F"/>
    <w:rsid w:val="004A146F"/>
    <w:rsid w:val="004A7840"/>
    <w:rsid w:val="004B5A81"/>
    <w:rsid w:val="004B6094"/>
    <w:rsid w:val="004C228A"/>
    <w:rsid w:val="0050700E"/>
    <w:rsid w:val="005377C2"/>
    <w:rsid w:val="00547768"/>
    <w:rsid w:val="005668C2"/>
    <w:rsid w:val="00575CAF"/>
    <w:rsid w:val="00586A51"/>
    <w:rsid w:val="0062786C"/>
    <w:rsid w:val="006470AE"/>
    <w:rsid w:val="00651457"/>
    <w:rsid w:val="0069108B"/>
    <w:rsid w:val="006A52D7"/>
    <w:rsid w:val="006C1967"/>
    <w:rsid w:val="006C5AC9"/>
    <w:rsid w:val="006E5359"/>
    <w:rsid w:val="00706BBF"/>
    <w:rsid w:val="0071274A"/>
    <w:rsid w:val="00734E8D"/>
    <w:rsid w:val="00742F01"/>
    <w:rsid w:val="00777583"/>
    <w:rsid w:val="00782941"/>
    <w:rsid w:val="007941C1"/>
    <w:rsid w:val="007A0CF0"/>
    <w:rsid w:val="007A501B"/>
    <w:rsid w:val="007B7F90"/>
    <w:rsid w:val="007F2F61"/>
    <w:rsid w:val="0080497C"/>
    <w:rsid w:val="00831425"/>
    <w:rsid w:val="008454B8"/>
    <w:rsid w:val="00872441"/>
    <w:rsid w:val="0088662C"/>
    <w:rsid w:val="008D4153"/>
    <w:rsid w:val="008D521E"/>
    <w:rsid w:val="008E736B"/>
    <w:rsid w:val="008F67AE"/>
    <w:rsid w:val="00902303"/>
    <w:rsid w:val="009154DB"/>
    <w:rsid w:val="0093237F"/>
    <w:rsid w:val="00963B4E"/>
    <w:rsid w:val="00986217"/>
    <w:rsid w:val="009B0E80"/>
    <w:rsid w:val="009B37E2"/>
    <w:rsid w:val="009B6C72"/>
    <w:rsid w:val="009D0C56"/>
    <w:rsid w:val="00A06B0B"/>
    <w:rsid w:val="00A14EB8"/>
    <w:rsid w:val="00A215DC"/>
    <w:rsid w:val="00A349A0"/>
    <w:rsid w:val="00A3510A"/>
    <w:rsid w:val="00A430BF"/>
    <w:rsid w:val="00A76837"/>
    <w:rsid w:val="00A816E6"/>
    <w:rsid w:val="00A87C7D"/>
    <w:rsid w:val="00A979D9"/>
    <w:rsid w:val="00AA2175"/>
    <w:rsid w:val="00AC064C"/>
    <w:rsid w:val="00AC0759"/>
    <w:rsid w:val="00AD2CFE"/>
    <w:rsid w:val="00AD3486"/>
    <w:rsid w:val="00AE562F"/>
    <w:rsid w:val="00B03BDD"/>
    <w:rsid w:val="00B10360"/>
    <w:rsid w:val="00B238CE"/>
    <w:rsid w:val="00B45FF7"/>
    <w:rsid w:val="00B70FD4"/>
    <w:rsid w:val="00B90779"/>
    <w:rsid w:val="00B909D3"/>
    <w:rsid w:val="00BB0CD5"/>
    <w:rsid w:val="00BC6781"/>
    <w:rsid w:val="00BE70C0"/>
    <w:rsid w:val="00BF1256"/>
    <w:rsid w:val="00C16D13"/>
    <w:rsid w:val="00C530DD"/>
    <w:rsid w:val="00C74F81"/>
    <w:rsid w:val="00C840DF"/>
    <w:rsid w:val="00C9647A"/>
    <w:rsid w:val="00CA0CBC"/>
    <w:rsid w:val="00CA40CE"/>
    <w:rsid w:val="00CA67B5"/>
    <w:rsid w:val="00CB3CF5"/>
    <w:rsid w:val="00CB44B2"/>
    <w:rsid w:val="00D02818"/>
    <w:rsid w:val="00D30F10"/>
    <w:rsid w:val="00D530CA"/>
    <w:rsid w:val="00D704BB"/>
    <w:rsid w:val="00D7430B"/>
    <w:rsid w:val="00D816C1"/>
    <w:rsid w:val="00D84A28"/>
    <w:rsid w:val="00D96E08"/>
    <w:rsid w:val="00DB1F66"/>
    <w:rsid w:val="00DC6158"/>
    <w:rsid w:val="00DE6FD0"/>
    <w:rsid w:val="00DF2F6D"/>
    <w:rsid w:val="00E04C03"/>
    <w:rsid w:val="00E16EAC"/>
    <w:rsid w:val="00E46B74"/>
    <w:rsid w:val="00E6185D"/>
    <w:rsid w:val="00EC0AAC"/>
    <w:rsid w:val="00ED0B7A"/>
    <w:rsid w:val="00EF6117"/>
    <w:rsid w:val="00F050A8"/>
    <w:rsid w:val="00F154F6"/>
    <w:rsid w:val="00F24649"/>
    <w:rsid w:val="00F24F66"/>
    <w:rsid w:val="00F52218"/>
    <w:rsid w:val="00F56180"/>
    <w:rsid w:val="00F64EF0"/>
    <w:rsid w:val="00F66369"/>
    <w:rsid w:val="00F7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032B"/>
  <w15:docId w15:val="{C7C63DAA-CCC2-9D4E-95AC-F8766903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BE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D3486"/>
    <w:pPr>
      <w:pBdr>
        <w:bottom w:val="single" w:sz="18" w:space="1" w:color="205E30"/>
      </w:pBdr>
      <w:spacing w:before="480" w:after="120"/>
      <w:outlineLvl w:val="0"/>
    </w:pPr>
    <w:rPr>
      <w:rFonts w:ascii="Arial" w:eastAsia="Times New Roman" w:hAnsi="Arial" w:cs="Times New Roman"/>
      <w:b/>
      <w:bCs/>
      <w:caps/>
      <w:color w:val="205E30"/>
      <w:sz w:val="40"/>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3F"/>
    <w:pPr>
      <w:spacing w:after="200" w:line="276" w:lineRule="auto"/>
      <w:ind w:left="720"/>
      <w:contextualSpacing/>
    </w:pPr>
    <w:rPr>
      <w:rFonts w:eastAsiaTheme="minorHAnsi"/>
      <w:sz w:val="22"/>
      <w:szCs w:val="22"/>
    </w:rPr>
  </w:style>
  <w:style w:type="paragraph" w:customStyle="1" w:styleId="MediumGrid1-Accent21">
    <w:name w:val="Medium Grid 1 - Accent 21"/>
    <w:basedOn w:val="Normal"/>
    <w:qFormat/>
    <w:rsid w:val="000D7C3F"/>
    <w:pPr>
      <w:spacing w:after="200" w:line="276" w:lineRule="auto"/>
      <w:ind w:left="720"/>
      <w:contextualSpacing/>
    </w:pPr>
    <w:rPr>
      <w:rFonts w:ascii="Calibri" w:eastAsia="SimSun" w:hAnsi="Calibri" w:cs="Times New Roman"/>
      <w:sz w:val="22"/>
      <w:szCs w:val="22"/>
      <w:lang w:eastAsia="zh-CN"/>
    </w:rPr>
  </w:style>
  <w:style w:type="character" w:styleId="Strong">
    <w:name w:val="Strong"/>
    <w:qFormat/>
    <w:rsid w:val="000D7C3F"/>
    <w:rPr>
      <w:b/>
      <w:bCs/>
    </w:rPr>
  </w:style>
  <w:style w:type="character" w:styleId="CommentReference">
    <w:name w:val="annotation reference"/>
    <w:basedOn w:val="DefaultParagraphFont"/>
    <w:uiPriority w:val="99"/>
    <w:semiHidden/>
    <w:unhideWhenUsed/>
    <w:rsid w:val="000D7C3F"/>
    <w:rPr>
      <w:sz w:val="18"/>
      <w:szCs w:val="18"/>
    </w:rPr>
  </w:style>
  <w:style w:type="paragraph" w:styleId="CommentText">
    <w:name w:val="annotation text"/>
    <w:basedOn w:val="Normal"/>
    <w:link w:val="CommentTextChar"/>
    <w:uiPriority w:val="99"/>
    <w:semiHidden/>
    <w:unhideWhenUsed/>
    <w:rsid w:val="000D7C3F"/>
  </w:style>
  <w:style w:type="character" w:customStyle="1" w:styleId="CommentTextChar">
    <w:name w:val="Comment Text Char"/>
    <w:basedOn w:val="DefaultParagraphFont"/>
    <w:link w:val="CommentText"/>
    <w:uiPriority w:val="99"/>
    <w:semiHidden/>
    <w:rsid w:val="000D7C3F"/>
    <w:rPr>
      <w:rFonts w:eastAsiaTheme="minorEastAsia"/>
      <w:sz w:val="24"/>
      <w:szCs w:val="24"/>
      <w:lang w:eastAsia="ja-JP"/>
    </w:rPr>
  </w:style>
  <w:style w:type="paragraph" w:styleId="BalloonText">
    <w:name w:val="Balloon Text"/>
    <w:basedOn w:val="Normal"/>
    <w:link w:val="BalloonTextChar"/>
    <w:uiPriority w:val="99"/>
    <w:semiHidden/>
    <w:unhideWhenUsed/>
    <w:rsid w:val="000D7C3F"/>
    <w:rPr>
      <w:rFonts w:ascii="Tahoma" w:hAnsi="Tahoma" w:cs="Tahoma"/>
      <w:sz w:val="16"/>
      <w:szCs w:val="16"/>
    </w:rPr>
  </w:style>
  <w:style w:type="character" w:customStyle="1" w:styleId="BalloonTextChar">
    <w:name w:val="Balloon Text Char"/>
    <w:basedOn w:val="DefaultParagraphFont"/>
    <w:link w:val="BalloonText"/>
    <w:uiPriority w:val="99"/>
    <w:semiHidden/>
    <w:rsid w:val="000D7C3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AD3486"/>
    <w:rPr>
      <w:rFonts w:ascii="Arial" w:eastAsia="Times New Roman" w:hAnsi="Arial" w:cs="Times New Roman"/>
      <w:b/>
      <w:bCs/>
      <w:caps/>
      <w:color w:val="205E30"/>
      <w:sz w:val="40"/>
      <w:szCs w:val="30"/>
    </w:rPr>
  </w:style>
  <w:style w:type="paragraph" w:styleId="CommentSubject">
    <w:name w:val="annotation subject"/>
    <w:basedOn w:val="CommentText"/>
    <w:next w:val="CommentText"/>
    <w:link w:val="CommentSubjectChar"/>
    <w:uiPriority w:val="99"/>
    <w:semiHidden/>
    <w:unhideWhenUsed/>
    <w:rsid w:val="00AD3486"/>
    <w:rPr>
      <w:b/>
      <w:bCs/>
      <w:sz w:val="20"/>
      <w:szCs w:val="20"/>
    </w:rPr>
  </w:style>
  <w:style w:type="character" w:customStyle="1" w:styleId="CommentSubjectChar">
    <w:name w:val="Comment Subject Char"/>
    <w:basedOn w:val="CommentTextChar"/>
    <w:link w:val="CommentSubject"/>
    <w:uiPriority w:val="99"/>
    <w:semiHidden/>
    <w:rsid w:val="00AD3486"/>
    <w:rPr>
      <w:rFonts w:eastAsiaTheme="minorEastAsia"/>
      <w:b/>
      <w:bCs/>
      <w:sz w:val="20"/>
      <w:szCs w:val="20"/>
      <w:lang w:eastAsia="ja-JP"/>
    </w:rPr>
  </w:style>
  <w:style w:type="paragraph" w:customStyle="1" w:styleId="ColorfulList-Accent11">
    <w:name w:val="Colorful List - Accent 11"/>
    <w:basedOn w:val="Normal"/>
    <w:qFormat/>
    <w:rsid w:val="00BF1256"/>
    <w:pPr>
      <w:spacing w:after="200" w:line="276" w:lineRule="auto"/>
      <w:ind w:left="720"/>
      <w:contextualSpacing/>
    </w:pPr>
    <w:rPr>
      <w:rFonts w:ascii="Calibri" w:eastAsia="SimSu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BOXX Technologies, Inc.</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Joanne Nault</cp:lastModifiedBy>
  <cp:revision>2</cp:revision>
  <dcterms:created xsi:type="dcterms:W3CDTF">2021-07-06T17:46:00Z</dcterms:created>
  <dcterms:modified xsi:type="dcterms:W3CDTF">2021-07-06T17:46:00Z</dcterms:modified>
</cp:coreProperties>
</file>